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严若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2007.12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辽宁省大连市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15500983185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31948wth@qq.com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天津市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北京戏曲艺术职业学院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1997.11-2014.11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广州市华粤行仪器有限公司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实地催收专员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制定并完善东莞公司人力资源战略与规划；2、全面负责东莞公司的招聘工作，保质保量完成招聘任务；3、负责制定与完善公司岗位管理体系与制度，并组织编制与完善岗位说明书，监控公司现有岗位设置的调整；4、负责关键岗位员工的选拔、考察、测评和培养；5、负责建立和完善员工绩效管理体系，组织制定员工考核指标体系；6、负责组织与本部门职能相关的企业内部培训工作，指导、协助员工做好职业生涯规划；7、负责定期员工满意度的调查或以其他方式员工交流，开发沟通渠道；8、负责员工离职面谈和劳动争议的协调；9、根据企业发展战略，制定企业文化建设规划，并负责规划的推进与实施工作；10、日常行政、后勤工作安排协调，以及副总经理交办的其他工作任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2007/09-2016/10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广西泽威新材料科技有限公司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总经办主任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2008.10-2012.12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《马克思主义政治经济学》（学时）网络课程设计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2009.07-2018.11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深圳市光明新区企业劳资关系情况调查与对策研究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1.进行短视频策划，包含账号定位策划、内容策划等一系列策划工作2.进行文案脚本撰写，和拍摄进行沟通交流，确保视频拍摄效果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1999.08-2011.01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珠三角最低工资标准的执行、影响与对策研究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