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方宜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1978.06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15803504303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788tg@ask.com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浙江省丽水市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浙江省丽水市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浙江省丽水市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1998/09-2018/02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常州伟博海泰生物科技有限公司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1996.01-2012.06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项目管理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浙江锋锂新能源科技有限公司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2004.07-2018.03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教学服务副总监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震旦集团广州事业部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1998/06-2014/06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江西味更佳食品有限公司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北京京北职业技术学院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地球物理学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北京市总工会职工大学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