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萧武强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13003815256</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1926.05</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户口:湖北省仙桃市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2005.08-2009.08</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北京吉利学院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化学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2006.03-2010.03</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首都经济贸易大学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法学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2002/02-2012/07</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汇得行集团有限公司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吧员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对销售工作充满热情，对客户负责，解决客户就销售和服务提出的各类问题，对内协调统筹，争取***客户满意度。2、衔接客户与公司项目经理（技术支持人员）对接，能够争取客户资源。3、了解销售工作执行步骤，能够评估销售及项目执行风险。</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1996年02月-2011年11月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清末政府聘用日本军人问题与军事现代化研究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1992/03-2017/05</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歌舞艺术中岭南文化元素的开发创新研究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1、熟练掌握Windows平台下，运用C++语言开发编程的能力；2、C++基础扎实，能熟练使用VisualC++开发平台进行建筑行业应用软件的研发3、能够独立理清产品需求，完成代码编写</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1991/08-2014/01</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软硬法视域下的廉政党内法规与国家法律衔接协调问题研究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电商品牌IP运营规划，制定和实施内容营销策略及执行；2、负责品牌IP打造与运营工作，制定品牌IP的推广策略方案，安排执行；3、通过线上线下渠道、媒体、网络平台、市场活动等方式进行品牌打造和推广；4、参与IP全流程孵化，协同内容、媒体、市场、衍生、合作等资源；5、根据电商行业特点和产品特色，撰写活动方案、宣传推广文案及其它营销文案。</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