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郑聪真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13902575540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佳兆业国际乐园集团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机械设备管理岗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1992.05-2017.11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上海港汇房地产开发有限公司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人事专员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1997.03-2014.01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东莞市激浪洗涤科技有限公司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高薪招生专员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1998/10-2015/08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江苏省建筑工程集团第二工程有限公司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2007年02月-2016年02月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2003年07月-2012年06月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2007.11-2019.03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1993.05-2018.11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1994.11-2010.02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北京卫生职业学院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水利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