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葛风炎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13302065957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LG生活健康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行政人力主管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1990/05-2013/08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北京新东方前途出国咨询有限公司厦门分公司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2009/02-2012/02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北京大地津泰会计师事务所有限公司山东分所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广告创意设计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2008/08-2010/12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上海三色米网络科技有限公司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1997.12-2013.11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1999.04-2013.10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2000.05-2013.03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2004/06-2016/07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临床医学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环境科学与工程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自然保护与环境生态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