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梁素黛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13705357947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浙江万晟药业有限公司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2002.09-2011.10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中艺盛世供应链管理有限公司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淘宝专员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2007/01-2018/10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1992年03月-2011年03月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日常行政工作管理及执行；2、负责公司固定资产和办公用品的采购、发放、调配、清点、报修和报废管理，保证各部门有序运作，同时开源节流；；3、负责公司日常接待来访工作；4、订阅年度报刊杂志，收发日常报刊杂志及交换邮件；5、公司环境的管理，制定办公区环境卫生标准，环境卫生的监督和管理；6、公司食堂日常管理工作；7、公司车辆日常管理工作；8、负责公司公章、行文、档案管理工作9、积极完成领导交办的其他临时性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1990/04-2017/07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2004.05-2011.12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1、会计核算管理；2、财务报表审核；3、合并报表编制；4、财务分析。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图书情报与档案管理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