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窦民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2008/02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湖北省咸宁市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辽宁省朝阳市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15204073769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snhdt@gmail.com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2005.06-2009.06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北京农业职业学院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林学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1996/02-2015/08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合肥永舟信息科技有限公司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工程造价/预结算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1，处理广告文案策划/平面设计师和客户之间的售后沟通协调；2，无销售性质，属文案/平面助理文职类；3，在线与客服沟通、售后等客服工作。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1998.11-2019.02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柳州游山湖实业开发有限公司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普工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1、了解导演意图，辅助制片人为按期完成纪录片拍摄、制作提供条件；2、协调影片当地拍摄所需交通、拍摄地等部分资源；3、负责解决拍摄过程中出现的各种困难，协调各部门之间的工作关系；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2008.07-2013.12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酷家乐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出差专员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制定并完善东莞公司人力资源战略与规划；2、全面负责东莞公司的招聘工作，保质保量完成招聘任务；3、负责制定与完善公司岗位管理体系与制度，并组织编制与完善岗位说明书，监控公司现有岗位设置的调整；4、负责关键岗位员工的选拔、考察、测评和培养；5、负责建立和完善员工绩效管理体系，组织制定员工考核指标体系；6、负责组织与本部门职能相关的企业内部培训工作，指导、协助员工做好职业生涯规划；7、负责定期员工满意度的调查或以其他方式员工交流，开发沟通渠道；8、负责员工离职面谈和劳动争议的协调；9、根据企业发展战略，制定企业文化建设规划，并负责规划的推进与实施工作；10、日常行政、后勤工作安排协调，以及副总经理交办的其他工作任务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2008.12-2018.12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的品牌推广；2、针对公司所在行业进行品牌宣传和产品推广；3、公司项目的评奖及刊登报刊杂志等事物；4、建立公司品牌的公众形象；积极扩展交流；5、负责公司的微信运营，有良好的文字功底，很强的文字撰写能力；6、在领导下配合公司推广项目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