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袁君茜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袁君茜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13006815805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ftj6w3@263.net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吉林省四平市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吉林省四平市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2003.03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北京交通运输职业学院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教育学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北京工业大学耿丹学院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公共管理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地质学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2006.09-2017.02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国美零售控股有限公司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1、课程开发2、部分课程讲授3、对各课程进行分析总结，提供培训管理与课程完善合理化建议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1996/05-2012/01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么肆烤肉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高级运维(开发)工程师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2002/02-2013/02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RWD黃志達設計師有限公司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电源生产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1.策划、组织、宣传员工文化活动，落实企业文化宣传，负责图片编辑、视频制作等；2.负责活动后期图片和素材整理，能协助平面设计师完成设计、制作活动材料；3.有一定的网管经验，能负责公司网络管理。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1993/02-2013/10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陕西永辉超市有限公司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数学老师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1、负责公司财务分析与管理；2、负责公司对外结算工作；3、能运用Excel进行数据处理。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1996.08-2016.04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负责工程总承包项目费控管理工作。负责工程总承包项目的工程成本预计分析，项目的材料量进行统计和审核；各分包合同的结算工作等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1991.05-2011.02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