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花有航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15801737761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上海港汇房地产开发有限公司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平面设计师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1992/08-2010/06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主要负责为客户提供一手/二手房咨询、租赁买卖等相关业务的全程代理服务2.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湖南光合作用商贸有限公司深圳分公司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1996/02-2017/05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郑州瑞盛德机械设备有限公司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研发工程师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1999.03-2013.02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1、中文系或有文字功底者优先2、负责公司日常具体行政事务处理；3、负责公司在库管理和收发货管理；4、完成领导交办的其他工作；5、有驾驶证；6、工作态度认真，仔细，责任感强。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厦门柏衡资产管理有限公司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销售代表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1999.04-2011.04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珠三角最低工资标准的执行、影响与对策研究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2004年11月-2018年05月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南开大学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计算机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