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水梅婵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13801211382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ot11bw@google.com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:江西省吉安市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江西省吉安市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女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33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2009.02-2013.02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北京经济技术职业学院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基础医学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2000.06-2004.06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北京交通大学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测绘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1994年06月-2014年09月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上海宠零宠网络科技有限公司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资料员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1995年06月-2014年11月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风行莱茵电梯有限公司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网络销售-双休、社保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现金支票的收入保管、签发支付工作；2、公司发票的开具、登记建档；3、严格按照公司的财务制度报销结算公司各项费用；4、及时与银行定期对账；5、根据公司领导的需要，编制各种资金流动报表；6、配合会计人员做好每月的报税和工资的发放工作；7、管理银行账户、转账支票与发票；8、完成其他由上级主管指派及自行发展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1997.12-2018.12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北京科基佳德智能技术有限公司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万科物业-案场高端接待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1.负责变频器、伺服驱动器整机及部件的测试工作。2.负责按调试标准对产品进行厂内、客户现场调试工作，对项目调试交付负责，确保产品验收。3.负责产品技术服务的支持工作。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