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滕欢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2001.05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浙江省丽水市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13107444591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wbqv8@sina.com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北京城市学院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1999.10-2014.03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广东全优加教育发展有限公司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人力资源部经理建立和完善公司的员工关系管理体系，各项人事管理制度的执行与更新；2、负责人力资源相关文件资料和数据的管理和更新；3、办理员工入职、离职、调任、升职等手续；4、管理人事档案，组织审核档案，清理与销毁工作；5、组织受理员工投诉和公司内部劳资纠纷，完善内部沟通渠道；协同人力资源部经理和法律顾问处理劳动争议；6、负责全面推动公司文化系统的建设工作，策划各类公司文化活动，丰富员工生活，提升员工满意度和敬业度，建立员工与公司之前的和谐关系。7、协助招聘、薪酬、社保公积金等工作的开展；8、负责部门日常采购、发放、登记管理，办公室设备管理；9、完成上级安排的其他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2008.11-2018.05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合肥优然牧业有限责任公司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日料厨师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1991.05-2011.05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上海云励科技有限公司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会计(J51717)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1998.12-2016.05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