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彭亮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15100846473</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2008.02</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户口:河北省承德市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2000.06-2004.06</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北京邮电大学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交通运输</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2009.01-2013.01</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北京艺术传媒职业学院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地质</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2003.02-2007.02</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华北电力大学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纺织</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1999.08-2010.12</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实朴检测技术股份有限公司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弱电工程师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2002年05月-2014年03月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歌舞艺术中岭南文化元素的开发创新研究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1、负责部门安排的工程绘图工作（如消防图、地坪图等）；2、负责与集团总部的提案图绘制工作及总部、分部会议纪要；3、负责现场图纸复核，现场初期勘场工作；4、部门主管安排的统筹工作；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1990年08月-2015年02月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传统家国情怀的价值内涵及其近代转型研究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1、负责15-60秒短视频的脚本撰写、内容策划、视频拍摄、后期剪辑等工作；2、负责各个产品需求的特性及功能与短视频平台（如抖音、快手、西瓜、微视）用户做结合，高效产出视频进行宣传策划。</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