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褚云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15104695432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1934.05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户口:陕西省铜川市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2003.01-2007.01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2014.11-2018.11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中西医结合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2010.04-2014.04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2006年12月-2013年11月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重庆璞润控股有限公司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结构工程师/结构设计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1990年09月-2015年02月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1994/11-2016/04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完成区域内重点市场跟进维护，并在空白市场积极开发新渠道；2、实施公司销售计划和方案，确保完成公司下达的各项工作指标；3、对区域内代理商进行维护、协同拜访，收集市场相关信息，并向大区经理汇报；4、完成区域内代理商的培训与市场宣教活动；5、协助代理商做好市场推广和重点医院临床拜访工作；6、服从上级管理，配合各部门经理完成公司其他各项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1995年12月-2019年09月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1.日常各项数据的收集以及汇总；各项资料的收集及备案;2.负责直营店铺销售支持行政类工作，确保店铺正常运营;3.负责店铺其他出入库的审核;4.完成上级领导交代的其他工作。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1994年12月-2018年08月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