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席莎珍</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1946/12</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黑龙江省双鸭山市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中国共产主义青年团团员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天津市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13907042354</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xhzp9ks4@163.net</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2008.10-2012.10</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天津科技大学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植物生产</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博士学位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2010.08-2014.08</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中央音乐学院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地质</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硕士学位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2005.12-2009.12</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中国青年政治学院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公共卫生与预防医学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博士学位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2001.01-2013.07</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长沙都正生物科技有限责任公司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人力资源总监</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对公司经销或代理的医疗设备产品目前市场状况进行调查及分析，包括但不限于了解公司经销或代理的医疗设备产品的市场动向、产品销售趋势、各类竞争产品情况、告警产品采购价偏高信息；2、根据市场调研结果，负责与境外供货商方联系，努力降低公司经销或代理的医疗设备产品采购成本，反馈并解决相关产品的投诉意见；3、就公司即将取得经销或代理权的新产品进行上市前的调研；4、解答各区域经理就公司现有各项医疗设备产品提出的相关问题，汇总对公司现有各项医疗设备产品的临床投诉;5、筹备、组织相关学术研讨会议、高峰论坛;6、不定期组织经销商和业务人员做公司现有各项医疗设备产品及新产品介绍及使用培训；7、跟踪、回访重点病例，收集医学病例、分析、归纳和总结。</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1995.08-2014.09</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四川朵唯智能云谷有限公司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工程资料员</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1、负责统计仓库人员考勤；2、仓库货品出入库统计；3、作业单据的准确开制、确认、交接及打印；</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1991.02-2013.04</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重庆大司空信息科技有限公司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Elan-前台行政助理</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1.公司进口产品订货，包括合同签订、单证审核、发货状况跟进等；2.与进口环节代理商及政府相关职能部门（药检部门及海关等）沟通联系。</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2005.12-2012.01</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“两个走在前列”的历史意蕴与实现路径研究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完成所辖区域内的产品销售及考核指标；2、建立、稳固并不断提升良好的客户关系；3、开拓新市场,发展新客户,增加产品销售范围；4、整合资源，不断细分并挖掘市场潜力引导需求；5、完成部分基础性的技术支持工作；6、负责收集各种信息,加深了解；任职资格1、25-30岁，专科及以上学历，专业不限，工科类和市场营销专业优先；2、3年及以上销售工作经验，有工业品渠道销售或外企销售经验者优先；3、具备一定的独立市场开拓能力及较强的业务处理能力和商务沟通能力；4、具有良好的团队协作精神和学习能力，承压能力强，具有挑战精神；5、热爱销售工作，能适应经常出差</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2009.04-2014.06</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充分利用高校资源推进党内法规制度建设研究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企业文化建设工作，具体负责文化建设中的媒体宣传，广告宣传，演出策划及具体演出任务，塑造企业形象以及企业文化活动方案的制定与组织实施；2、组织各项员工活动，促进企业文化的传播，组织专题宣传活动，支持集团业务和管理方面的创新与变革；3、与子公司保持密切联系，不断更新本地的企业文化宣传内容，参与企业文化方面的培训工作；4、负责企业内部刊物制作，参与创意和设计，并负责企业形象、文化宣传系统的组织设计、优化和推广应用。</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