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余珍</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1929.06</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新疆省图木舒克市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13003932882</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mxqyc@163.com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2011.10</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2015.10</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北京开放大学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2008.10</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2012.10</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北京市丰台区职工大学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2006.04</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2010.04</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北京理工大学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1993.07-2016.06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汕头市合创电器有限公司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销售经理(电梯）</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2006/10-2013/05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依托革命文化厚植广州发展精神底蕴研究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【南京贝壳新房】专注于南京一手房市场，业务覆盖全南京市以及都市圈一手房源，为开发商提供全案销售代理服务，为客户提供优质的购房体验，现已成为南京新房领先者。</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2003.09-2014.02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新中国成立以来政党协商历史进程与基本经验研究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2003.12-2017.10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华南敌后抗日根据地经济建设研究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维护和开发基础招聘渠道、招聘宣传材料的设计和制作、发布、管理招聘信息、简历筛选；2.负责招聘数据的汇总及报表制作；3.负责安排应聘人员面试工作，面试结果跟进、复试安排等；4.负责招聘渠道及效果的评估，分析各岗位招聘周期与报告。</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2005.05-2018.10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中国与印度关系研究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协助项目工程管理人员做好工程维修预结算，报送至甲方；2、负责各个工程项目施工图纸的领取、整理、发放、归档；3、了解国家及各过程所在地的过程验收资料规范，编制验收资料；4、其他项目管理人员指派的工作任务。</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