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范惠燕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范惠燕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15800080802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ve75c@gmail.com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贵州省毕节市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贵州省毕节市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1962.01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中国记协职工新闻学院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林业工程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中国人民公安大学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音乐与舞蹈学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南开大学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自动化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1993.05-2016.09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昆明融创汇鑫商业运营管理有限公司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研发工程师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1、对在库药品进行养护，建立养护记录；2、指导保管员合理存放药品；3、负责库房温湿度监测与调控；4、养护仪器的使用与保养；5、仓库设施设备养护与管理；6、其他领导安排的相关工作。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2000年07月-2013年09月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青岛瑞勤国际货运代理有限公司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独立商城网站运营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完成开发实验室LIMS系统的新功能模块，独立地设计、开发、实现和测试关键应用系统；2.将作为团队骨干理解业务问题、分析系统需求并编写需求规范；3.有能力对一个应用模块或子系统进行架构设计；4.系统核心部分代码编写，疑难问题的解决；5.对现存或未来系统进行宏观的思考，规划形成统一的框架、平台或组件；6.能为团队引入创新的技术、创新的解决方案，用创新的思路解决问题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2008.04-2010.08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同程艺龙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财务总监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线下产品运营、团队运营和企业运营工作；2.根据经理下发的任务，制定营销推广计划，负责区域产品推广，了解产品订单系统，完成各项基层运营管理工作指标；3.根据市场产品的推广状况调整经营策略，并向经理及时提出可行性建议；二、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2004/10-2014/07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《马克思主义政治经济学》（学时）网络课程设计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审核公司各主体单位日常报销的原始单据，编制记账凭证；2.根据各主体业务需求开具发票，每月及时认证进项发票，抄税清卡；3.每月定期出具财务报表，根据财务报表数据及时完成税务申报；4.协助参与公司各项资产的管理及盘点工作；5.负责各项对账工作，及时更新对账、开票及付款记录；6.跨部门沟通财务相关工作，并跟进执行质量情况；7.完成上级交给的其他日常事务性工作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