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康苑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1960年04月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海南省三亚市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安徽省滁州市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15300230200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f53wlan5@hotmail.com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2012.12-2016.12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对外经济贸易大学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电气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2012.12-2016.12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2012.05-2016.05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1993.09-2019.11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浙江莱博企业管理股份有限公司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技术副经理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2000.07-2012.09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上海港汇房地产开发有限公司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助理工程师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1997.01-2010.08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1991/08-2018/01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2001.08-2015.01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