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戴梅毓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41岁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高中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15006920567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和宇健康科技股份有限公司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客户服务主任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1996年05月-2017年02月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超市前台管理，实现职业化操作、标准化管理，维持良好的顾客服务水平，树立良好企业形象；2、负责门店前台部运作，为顾客提供快速、准确、优质的收银服务及良好的售后服务；3、指导和推动门店客服接待及受理顾客抱怨的能力，规范顾客意见接待、处理与反馈；3、做好各岗位中的损耗防止，避免商品损耗和现金风险；4、负责人员系统排班及岗位人员安排，合理安排人力，提升人员效率；5、负责团队建设，组织各项技能的培训，提升员工综合技能，做好人才培养；6、保持与公司总部管理部的沟通，做好公司各个项目的实施、推广。二、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湖北华网通信工程规划设计有限公司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品牌推广经理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1996年08月-2017年11月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参与制定公司软件产品的发展方向，确定公司产品框架及开发实施计划；2.规划产品研发进度安排，根据公司需要确定开发周期及人员安排，保证开发进度和质量；3.负责产品的总体技术框架的规划与设计，构建高可靠性、高可扩展性的体系结构；4.组织项目组进行技术攻关，解决目前公司已使用技术框架中存在的问题并进行有效优化；5.负责研发团队的日常管理和能力建设，制订并监督执行工作计划；任职要求1.本科及以上学历，计算机、通信等相关专业，5年以上相关工作经验，有独立承担超过2年以上的软件项目系统分析及架构设计经验，有成功案例、大型系统软件架构设计经验优先；2.了解WEB、分布式系统、微服务架构、可视化、大数据等技术，并能阐述其基本原理，能很好的理解多层体系架构设计，具备技术选型能力；3.熟练掌握两种以上Java开源框架（如Spring、SpringMVC、mybatis、Hibernate）、MySql数据库以及SQL调优、Redis、MQ等消息中间件的使用及优化；4.对技术有强烈的兴趣，喜欢钻研，具有良好的学习能力，沟通技能，团队合作能力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大连云动力科技有限公司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建筑机电工程师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2003.01-2018.11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收集目标行业的客户信息，分析研究客户的要求，为客户提供有价值的服务；2、根据客户招聘需求进行职位分析，通过各种渠道搜寻、甄别、挑选合适的候选人；3、独立完成与候选人进行沟通，并获得候选人的简历资料；安排好面试，跟进面试的进程和反馈；4、对人才信息资源进行跟踪管理和维护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高校思想政治工作的薄弱环节及其对策研究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1999.03-2011.11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区域内终端直营考核方案的制定和实行；2、负责区域内终端直营服务服务体系搭建、管理、培训；3、负责区域内终端直营送装全流程梳理，相关业务跟进管理，保障终端直营用户服务体验；4、负责区域内终端直营门店满意度管理，对接门店上样、售前机处理、导购服务政策培训等工作；5、负责区域内高端产品（包括但不限于COLMO、比佛利）服务质量管控；6、协同并配合厨热品类服务主管工作推进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广州新移民文化认同与城市归属感研究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1997.12-2017.03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1、负责项目中Unity3D引擎相关工具的开发与维护；2、根据美术需求编写相关shader；3、对美术工作中遇到的问题提供技术支持；4、制定美术资源制作规范；5、优化效率，了解相关性能分析工具。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时空情境视角下农民工越轨行为防治研究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2006/04-2013/07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部门内日常用品的采购；2.做好与公司内其他部门的对接工作；3.协助部门进行办公环境管理和后勤管理工作；4.销售人员与公司的信息交流，随时保持与市场销售人员的电话沟通，销售政策及公司文件的及时传达。5.领导交办的其他工作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信息化条件下宣传思想工作研究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1990年12月-2012年02月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1．进行成品制剂通用项目分析；2．试验仪器等验证与校准；3．进行实验室日常维护与管理；4．进行原辅料、包装材料的抽样、检验等；5．进行稳定性试验管理；6．进行留样库管理；7．片剂、生化学分析。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中国社会科学院大学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美术学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2012.07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北京工商大学嘉华学院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植物生产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2003.12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2007.12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对外经济贸易大学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马克思主义理论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2007.12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2011.12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