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魏燕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2005.11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13800514972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2785v0p@hotmail.com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河北省廊坊市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河北省廊坊市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河北省廊坊市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1992年09月-2017年02月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总监行政秘书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武汉伯瑞恒医药科技有限公司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1994.03-2013.01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行政/人事助理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昆明融创汇鑫商业运营管理有限公司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北京中医药大学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