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汤巧馥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汤巧馥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13505735955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sc3hiw4q@gmail.com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深圳市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深圳市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1980.03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北方工业大学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1994/12-2012/04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四川尚投集团有限责任公司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分公司总经理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2000年08月-2011年07月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东莞市乐有家房产经纪有限公司金龙路分公司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客服专员2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2006年05月-2011年01月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2000年01月-2012年10月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1998.06-2011.06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2007.11-2019.02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