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朱婵姬</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1992/05</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上海市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中国民主促进会会员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山西省忻州市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13004403881</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3twboyq@3721.net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2014.03-2018.03</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中央民族大学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图书情报与档案管理</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1996.10-2020.01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河南元丰科技网络股份有限公司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货代销售</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品牌形象的树立和推广，包括品牌文化、品牌手册、创意视觉拍摄等内容的策划、梳理及文案撰写；2、维护并拓展公司的媒介关系库，根据公司的营销推广计划组织并管控媒体发稿，跟进广告投放，审核及评估媒体撰写的稿件，结合媒体的推广选题和品牌推广计划撰写媒体软文及活动公关稿件等；3、公司各类活动的策划、供应商挑选审核、组织公司内部各部门间的沟通配合及活动执行管控；4、配合各渠道做好产品线上线下的推广营销互动。</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2002/02-2012/07</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新媒体视阈下中国特色社会主义意识形态话语权建构研究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公司亚马逊线上店铺的运营管理，制定运营方案、目标及执行策略；2、根据销售目标，制定资源规划及计划、活动计划、推广计划并检查执行情况；3、对线上店铺日常数据直接负责，包括流量、点击率、转化率、复购率等，并形成报表和提出改进策略；4、深度分析用户需求，并依此制定店铺装修、宝贝详情及品牌形象的策略、方案并实施；5、对店铺全部环节的用户体验、业务流程及团队绩效进行分析和不断改进；6、负责店铺活动的策划、执行、站内及站外推广，负责各类合作资源的规划、拓展、执行；7、负责店铺运营的各项技术方案及实施方案的制定、执行；8、负责店铺运营团队建设及管理。9、负责未来公司电子商务平台、淘宝C店等主流电商平台的运营规划；</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1996/02-2014/08</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社会主义协商民主体系中的政党协商机制建设研究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对公司下设的机器视觉项目的产品做推广宣传与销售2、根据公司整体营销计划，分析目标市场，制定并执行市场开发计划3、拓展客户资源，跟进并经营客户，完成公司产品的销售工作4、维系客户关系，做好售后服务的反馈与衔接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1998/04-2010/10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习近平新时代中国特色社会主义思想的方法论研究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协助完成公司各类内部培训相关的教务工作；2、协助完成各类培训课件（如PPT、E-learning课件）的制作、格式转换、加工等；3、协助部门各项资料的整理、归档与保管；4、参与教学组织和管理；5、参与维护、使用内部培训管理系统及知识库；6、配合完成部内的其他日常行政工作。</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