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余倩颖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13600150615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4uciogw@ask.com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旅游管理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2008/08-2019/11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长沙矿冶研究院有限责任公司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1991.05-2017.07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天津医药集团马光医疗投资管理有限公司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校园招聘专员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2000年08月-2011年11月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焕醒科技有限公司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