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穆园羽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1946/08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台湾省台北市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中国共产主义青年团团员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江苏省南通市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13501711822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3kes8i@yahoo.com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2004.07-2008.07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北京工业大学耿丹学院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轻工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1990/02-2011/06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上海金吉鸟企业投资管理有限公司南京分公司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区县代表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项目资料（会议）的制作、收集、审查、整理、立卷、归档及竣工图、竣工验收资料的制作、收集、整理、立卷、归档。2、负责接收、发放及保管集成部的书函文件、合同、设计图纸与设计变更，以及相关资料的收集、借阅。3、及时处理工程往来的报告、函件，并按工程项目与类别进行整理归档、列清目录，对资料、文件往来做好编号登记4、负责集成部档案归类管理，认真做好合同编号、归档、分发，统计工程付款情况。5、负责集成部工程预算、结算、工程量计算清单，以及招投标档案、技术、经济方面的签证资料的保管，并全力支持配合收款工作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1995/03-2015/06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深圳市有棵树科技有限公司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运营计划主管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.负责公司产品的相关UI设计工作2.和产品交互一起沟通想法构思设计，并能够灵活提供视觉解决方案3.跟踪设计效果及开发还原度，关注产品数据变化，根据数据调整优化设计方案4.能够快速响应处理紧急问题及设计难点，并高效的给出设计方案5.设计规范化方法论建设，确保体验及规范的一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1993/05-2015/06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统战部——统战理论研究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后端的研发流程管理及技术难关攻坚。2、开发进度管理，形成了稳定快速开发迭代的流程，线上问题的修复效率提高。3、攻克大部分线上难题，对技术有自己的研究，并能复用在其他团队。4、帮助其他小伙伴成长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2009.04-2018.08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技术与工程中的模型研究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1、负责学生的思想政治工作及教学、教研等方面的工作；2、承担本学科课程的讲授任务，组织课堂讨论；3、承担课程辅导和答疑，作业和考卷批改等工作；4、完成教学部门主任安排的其他任务。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