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韩枫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15304818340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mfz1f@live.com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1994年05月-2010年07月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宁波科尔维特照明有限公司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商用PC大客户销售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1996年08月-2018年10月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珠海勤信投资咨询有限公司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工程费控专员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北京社会管理职业学院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财政学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北京工商大学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北京建筑大学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2007/10-2011/01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建立、实施、制定年度销售规划，分解销售目标，推动营销方案落地，达成公司年度年度目标。2、管理销售团队，制定并落实各项营销管理制度，达到销售团队的执行力的提升3、规划、配置销售区域、区域人员，使销售区域和人员的合理安排4、制定销售团队绩效、考核政策，激励销售团队的目标达成5、建立、整合、开拓、维护销售渠道，确保销售渠道的健康高效。6、制定年度销售策略与维护、开发方案，稳定重点客户7、管理以及进度的推进，推动公司市场运作体系转化为成果8、制定年度销售规划，分解销售目标，推动营销方案落地，达成年度目标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1999/05-2011/11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岭南文化融入大学生思想政治教育研究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2002年03月-2012年08月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工程和技术的组织、指导及管理工作。2.跟进工程进度，保证按期完工，做到安全***、工程质量***。3.编制和审批公司项目施工计划，定期总结分析项目施工任务完成情况，及时解决项目施工活动中遇到的问题。4.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1993/03-2010/04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