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阮天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阮天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15201634969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1aiocf@qq.com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江苏省扬州市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江苏省扬州市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1940.01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对外经济贸易大学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农业经济管理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北京社会管理职业学院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1994.02-2015.09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上海康业建筑装饰工程有限公司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业务助理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1、按时完成领导分配的采购工作，货比三家，积极开拓资源，完成降低采购成本的目的；2、根据计划进行采购物品的下单、跟踪、验收，完成相应报表；3、及时完成领导交办的其他事情。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2001/05-2013/07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浙江捷昌线性驱动科技股份有限公司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每笔交易，确认采购单价、吨数、品名及仓库等信息；2.制作交易单、采购合同及销售合同；3.确认付款金额，制作付款申请单；4.根据每笔合同的货款交付日期和金额，跟进客户货款的支付，必要时进行催收；5.客户货款到账后，通知财务付款，并确认账款，下发提单给客户，完成付款后，到供应商公司取提单；6.月底向财务部提供新增客户的开票资料，确认收件地址后讲发票邮寄给客户；7.月初将上月所签订的合同原件分发给各公司，经确认盖章后收回交由合同管理员保存；8.根据每日所发生的实际交易，进行业务台账登记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2000.11-2011.11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湖南光合作用商贸有限公司深圳分公司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市场销售总监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2003/12-2012/06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杭州天迈网络有限公司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企划主管/专员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2001.06-2018.02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2005/06-2016/01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深圳市罗湖区发展研究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1990.03-2014.03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