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魏发生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魏发生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15108377441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otpny5f@google.com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甘肃省合作市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甘肃省合作市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1993.10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临床医学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2007.04-2018.03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中国平安人寿保险股份有限公司深圳分公司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酒仓高级营业员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1990年12月-2012年10月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广州市万青年电子商务有限公司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普工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1.负责公司产品的UI交互软件开发，应用程序开发；2.编写C++软件源码，并输出详细设计文档；3.配合系统工程师进行产品调试。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1996/09-2016/11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四川蜀天源人力资源管理有限公司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销售内勤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1996/08-2012/02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保利地产投资顾问有限公司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费用审核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2003/06-2016/12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1999年02月-2011年07月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1.负责电商店铺整体装修、动态调整。2.负责网店各类活动海报、主图制作，产品详情修改。3.负责直通车、钻石展位、站外推广等图片推广效果。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2004年07月-2018年04月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1、负责开发、挖掘潜在客户，维护发展现有客户；2、根据公司计划完成指定的销售目标；3、建立、完善客户销售档案；4、按要求完成销售计划及销售进度表.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