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萧邦</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萧邦</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15306096237</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golzq7vk@163.net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河南省驻马店市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河南省驻马店市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1978.09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2006.07</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2010.07</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北京卫生职业学院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电子信息</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2001.03-2017.09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上海德悦柏国际贸易有限公司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IT运维工程师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按SOP的要求完成生产原料及辅料进厂检验，纯化水的生化检测及微生物限度检测；2.按SOP的要求完成细胞培养基的细胞增殖实验及内毒素等理化检测，并做好相关的实验记录；3.留样样品的观察、管理及到期样品实验，并做好相关实验记录；4.实验室使用试剂的配置，实验室仪器设备的维护和保养；5.配合完成公司质量体系ISO9001及ISO13485年度审查；6.对不合格品参与OOS调查；7.完成公司安排的临时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2002/11-2010/10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中天美好集团有限公司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驻厂</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1998年09月-2019年12月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上海凯萌电子科技有限公司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资深员工关系专员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2008.02-2010.11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社会组织党建科学化推进广州城乡基层社会治理现代化研究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