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赵安力</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1970年10月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宁夏省吴忠市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中国国民党革命委员会会员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甘肃省白银市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13502425408</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4jp3bh@sohu.com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2008.01-2012.01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国家检察官学院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林业工程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2002.01-2006.01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国际关系学院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物理学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1996/08-2014/09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无锡米勒人工环境有限公司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软件销售经理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明月镜片”产品的区域拓展、客户发展、区域运营的策划制定及执行；2．根据公司整体运营策略，提炼出适合各区域市场的运作模式；3．与客户建立良好关系，及时反馈客户信息，满足客户需求，提高客户满意度；4．制定销售目标、市场拓展计划，审核客户的各种计划并监督执行；5．完成月度、季度和年底区域销售预测，定期汇报工作情况；6．建立完整的地区经销商网络，整合资源实现公司销售总目标。</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1991/04-2015/06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妍丽化妆品有限公司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会计助理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1994.04-2016.01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成都回形针电子商务有限公司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区域销售经理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日常接听电话及来访者接待工作，以良好的态度将来电者转接到相关部门，及时、礼貌的接待访客。2、加强相关行政类表格的更新、管理、存档工作，平时做好考勤记录的登记和更新工作，月底配合人事部完成考勤汇总工作。认真完成每月底的帐单核对工作，对于日常的文具、日常消耗品。3、接待公司新报到员工，按照流程，拍照、员工信息登记、分发办公用品，办公桌钥匙、制作铭牌、告知公司管理信息给予新员工最大的帮助。员工离职，收回员工之前借有公司的物品，认真核实确保公司无任何损失。通知保安领班销卡，将回收来的文具一一分类摆放整理，争取最大程度的节约资源不浪费。4、协助维持公共区域的整洁卫生，保证会议室相关物品、设备都摆放到位，为员工创造个良好、舒适的办公环境。5、负责办公区域相关设备的保修工作，如复印机、打印机、饮料机等，定期与相关供应商沟通，了解彼此工作，为员工提供更好的服务。6、积极与部门同事沟通，保障公司正常业务操作，维护公司良好工作环境。</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1995.12-2010.08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广州新岭南文化中心重点研究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行政相关的日常事宜；2、负责人事、行政管理各项流程的制定和完善，根据公司的工作需要，拟定公司新的制度；3、负责公司薪酬、绩效体系的设计、制定和实施工作；4、负责离职人员的面谈，为改善公司人事、行政管理提供建议；5、负责员工转正、晋升、调岗、调薪、合同续签等相关工作的推进；6、负责员工活动的组织、安排以及协调工作；7、负责做好公司各项接待工作，为公司发展提供后勤保障；8、负责召集公司人员展开各项会议，做好会议记录，根据需要撰写会议纪要，并跟踪、检查、督促会议决议的贯彻实施；9、完成领导临时交办的其他相关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