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谈冠士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北京交通运输职业学院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大专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68岁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台湾民主自治同盟盟员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女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四川省雅安市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13703057708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5fnusss@google.com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2007.05-2012.12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吉林爱信诺航天信息有限公司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行政专员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负责售前对接、售后处理、投诉处理等事宜；wing系统退货、审单、缺货，系统异常处理；定期监测各平台店铺DSR指标和无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2001年12月-2019年12月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广东国瑞投资管理有限公司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游戏GS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.制定国际监理规范与标准，监督、指导实施工期计划及工期的管控，确保工程装修按时、保质保量完成；2.建立并完善国际工程施工规范技术标准，指导工程监理监督各施工厂商按规范施工执行；3.制定国际工程验收标准并落实执行，指导、核查店面中期及竣工验收，确保工程验收工作有序开展；4.主导施工厂商的管理，通过施工厂商评估等方式有效管理厂商资源，保证施工质量；5.根据子公司开店业务要求合理分配监理工作内容，定期考核监理工作绩效；6.配合其他部门完成新项目研发、标准制定的工程类工作；支持设计团队完成新材料、新工艺、新设计方案的优化改进工作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1993/04-2011/09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台州开投蓝城投资开发有限公司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品控技术员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1.办公室日常管理工作2.分类整理和保管各种重要文件资质3.保持总部和办事处的信息互通4.协助总部人事各项事宜5.协助总部财务各项事宜6.反馈销售意向，协助投标的部分工作7.协助技术部工程师的工作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2001.08-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2005.08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北京交通运输职业学院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工业工程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2009.12-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2013.12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北京青年政治学院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海洋工程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2008.05-2013.11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华南敌后抗日根据地经济建设研究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进行医院样本的收集、运输和后续的分装工作；2、协助参考研发员进行定值参考品和质控参考品的制备；3、负责参考系统部样本库的管理工作；4、协助参考研发员完成工作校准品制备、EQA实验等相关工作；5、协助完成参考实验室质量管理体系的运行与维护；6、完成上级临时交办的任务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2002年05月-2012年08月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统战部——统战理论研究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.负责公司移动互联网自媒体平台（微信、微博为主）的日常维护；2.负责收集、研究网络热点话题，分析同行业微博、微信内容结构及话题热点，能够独立运营微信公众号；3.负责公司活动信息的宣传并定期进行微信推送，及时与粉丝互动，增长粉丝量，提高关注度和粉丝活跃度；4.负责公司对外新闻、广告宣传稿件的撰写以及企业文化宣传文字写作工作；5.紧跟微信发张趋势，广泛关注标杆性公众号，积极探索微信运营模式；6.完成领导交办的其他工作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1997/11-2010/12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技术风险的伦理评估与社会治理研究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.负责业务平台以及相关产品的需求分析、整理、转化。2.负责业务平台以及相关的产品PRD、项目方案编写。3.进行行业相关的竞品分析、数据监测。4.配合运营部门进行产品的下一步规划。5.指导、协助技术开发同事完成产品的高度还原落地，如期发布。6、具备IT咨询经验者优先；8、具备微信、微博等新媒体运营经验者优先。9、具备产品设计、管理、运营经验者优先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2002/04-2014/08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专题博物馆建设与新岭南文化发展研究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熟悉公司各项业务及VIP卡种，积极接待参观的顾客，提供相关会员卡咨询服务工作；2、做好会员资料的管理及跟踪服务工作，及时解答会员提出的问题并提供相应的服务；3、做好俱乐部潜在客户的发掘、销售渠道的开发及维护工作等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