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杨璐妍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15708063712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1934.06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2003.07-2007.07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2008.04-2012.04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管理科学与工程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2004.05-2008.05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2010.07-2014.07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1991年03月-2014年10月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重庆迅游科技有限公司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客服专员(华通威）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1994年08月-2018年05月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青岛海川建设集团有限公司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校园招聘专员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1997年06月-2010年06月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安徽瑞美药业有限公司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企业大学前台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2009年03月-2016年10月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