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米心敬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1946.05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内蒙古省乌海市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15703925472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86mdssr@163.com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北京外国语大学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北京外国语大学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2005.03-2015.05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杉德电子商务服务有限公司江苏分公司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业务助理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1.协助餐厅主管负责部门人员工作安排及监督；2.负责安排餐厅产品流程的监督及安排；3.完成领导交办的各项工作。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2004.03-2015.09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上海皓元医药股份有限公司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品牌策划经理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2008.07-2012.03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制定并分解销售计划。2．开发客户，完成市场销售目标。3．分析区域市场及产品推广4．建设销售团队。5、有医疗信息化（软件）销售或医疗行业销售经验优先录取。二、双休法定，五险一金，全勤奖，话费补贴，员工旅游，生日福利，节日福利，绩效奖金。有完善及充分的晋升空间及合伙人运营制度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