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周月馥</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1979.10</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安徽省巢湖市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15702160095</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qwciv@google.com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2006.07</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2010.07</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公安部管理干部学院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1993/01-2016/01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湖北省粮油食品进出口集团有限公司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活动执行</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政府软件项目的现场实施、沟通及处理工作；2、负责制定项目实施计划，负责前期客户需求调研、系统搭建、项目实施、组织客户培训、项目技术验收等工作；3、组织建立实施文档体系工作；4、管理工作内产品的售后技术支持，对客户系统出现的各类故障进行诊断排除；5、主要培养方向为项目负责人和项目经理；</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1997.11-2011.09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江苏福本命年文化发展有限公司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直播运营主管/经理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根据业务员订单进行样品采购，辅料采购；2、采购订单的跟进，验收。3、管理采购合同及供应商文件资料，定期收集、建立供应商信息资源库；4、进行供应商的联络、接待工作；5、新产品、新供应商的开发；6、对接财务开票；7、会开车8、完成领导交办的其他任务。</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1999.05-2016.04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杭州和昇塑料制品有限公司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大区销售副总监</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协助上级制定并完善公司薪酬管理制度，不断优化薪酬管理流程；2、负责公司每月薪酬核算、员工社保公积金缴纳；3、薪酬工资的数据分析及预算；4、根据公司标准，制作离职员工的离职结算清单；5、完成上级交办的其它人力资源的工作事项。</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2004.04-2019.08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北京中科云智慧环保科技有限公司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采购</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1、负责WEB前端的技术架构与开发工作；2、持续的优化前端体验和页面响应速度，提升web界面的友好和易用3、与后端开发人员紧密配合，完成产品的整体开发</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2004.09-2012.02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中国与印度关系研究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1991/05-2016/01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依托革命文化厚植广州发展精神底蕴研究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及审核、核对和管理公司各类发票、单据等。2、按照财务制度规定，打印、装订、保管会计凭证，会计报表等会计档案；3、熟知纳税申报，税务处理，成本核算等。4、负责办理财政、税务、银行、工商等部门的工作联络以及业务往来事项等。5、负责应收账款，应付账款和其它应收和应付款等科目的管理。6、根据公司财务制度和有关规定及管理办法与要求，进行各项费用的审核报销工作；7、协助上级建立并严格执行会计核算管理制度和会计业务流程。8、定期组织检查会计政策执行情况，严控操作风险，解决存在问题；9、协调对外审计，提供所需财会资料。10、完成领导交办的其它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2005/07-2019/04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社会主义协商民主体系中的政党协商机制建设研究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1.按照顾客需求，提供彩妆服务，打造各式妆容；2.按照公司要求销售相关的彩妆品牌产品，达成或超额完成销售目标；3.负责彩妆专柜陈列、管理和维护工作，保证专柜保持整洁有序；</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2000/08-2012/06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大数据时代我国社会公德治理的运行机制研究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1、负责统计仓库人员考勤；2、仓库货品出入库统计；3、作业单据的准确开制、确认、交接及打印；</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