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马澜</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45岁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大学本科</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13607700696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武汉赛沃医药科技有限公司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水处理工程师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1992/07-2015/02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根据公司发展战略，编制年度市场开发计划，报总经理审批后执行；根据公司目标及资源编制市场推广计划，搭建营销体系；负责与外部合作单位、政府及相关社会机构建立良好的合作关系；开发咨询意向客户--寻找潜在客户，日常电话维护，登门拜访；开发内训项目并组织实施；完成上级临时交办的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浙江航天长峰科技发展有限公司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助运顾问</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2001.12-2013.04</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南京新鸿书院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平面设计师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1997年05月-2011年02月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1、负责企业质量体系建设及内部质量控制管理。2、负责内外部质量审核及内部产品质量标准建设，建立健全质量标准及相关检测要求制度，并组织落实；3、负责完成其他领导交办的工作。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嘉兴旗声电子有限公司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新媒体运营专员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2010/01-2010/01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制定移动互联网新媒体（微信、微博、公众号、有赞、天猫、京东、抖音、小红书、B站及其他直播平台）销售平台的运营规划，明晰定位、目标、发展战略并落实实施；2、负责新媒体新产品、新功能的研发策略，战略推广，运营策略的制定和实施；3、负责新媒体平台相关内容、节目的策划、选题、执行、出稿等整体规划和运营管理，把握整体风格及发展方向；4、利用专业运营数据分析工具分析粉丝社会化媒体运营指标，提高运营效率与效果；5、根据新媒体平台发展，策划组织推广活动。</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《马克思主义政治经济学》（学时）网络课程设计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2006/07-2018/01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时间、技术与科学——技术介入科学的现象学研究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1997/06-2010/11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通过电话或者邮件与客户沟通案件要求和进展；2.及时把客户要求反馈给公司相应的外勤人员；3.及时完成并提交案件的英语报告；4.及时向上级经理汇报所负责客户的业务进展；5.必要时协助其它客户负责人共同完成紧急工作任务；6.公司交代的其它工作。</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北京汇佳职业学院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大气科学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2010.04</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首都经济贸易大学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物理学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2010.12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2014.12</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北京劳动保障职业学院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海洋科学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2012.07</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2016.07</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