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水翰伯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13302064307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wt2canf9@sina.com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1994.01-2011.03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成都昂可教育咨询有限公司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金融电销专员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1993年09月-2015年03月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宁波浙外人力资源服务有限公司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业务助理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1998/01-2014/05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北京盈建科软件股份有限公司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教学助理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1996年03月-2014年03月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广州映博智能科技有限公司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各区的区域经理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1．完成雅思听力/口语/写作/阅读课程中某1-2科的讲授工作；2．负责雅思听力/口语/写作/阅读课程的研发；3．按照学校的要求和计划，在规定时间内保质完成教学目标。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物流管理与工程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公共卫生与预防医学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1998.07-2014.02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1、参与软件项目的开发或者改进；2、负责相关的技术调研及技术支持；3、协助完成项目开发及管理需要的技术环境构建；4、保障项目开发中的技术规范遵守；5、根据需求协助构筑相关的技术平台；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2000/10-2017/04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