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酆蕊娥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山东省聊城市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13401687104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dj33m@live.com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2000年03月-2012年01月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上海安卡国际物流有限公司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生产内勤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1995年12月-2019年12月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北京卡乐沃德科技有限公司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招投标专员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清华大学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2004/11-2013/06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信息化条件下宣传思想工作研究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（具体以公司要求为准）　　1、根据业务部门提交的付款申请完成收付款工作；　　2、能熟练操作office办公软件和财务相关软件；　　3、负责处理现金相关业务并登记现金日记账、银行存款日记帐，现金保管以及日常费用报销的支付；　　4、每月盘点各网银账户余额及现金，编制现金盘点表；　　5、保管网银U盾；每日根据当日发生款项将原始单据移交核算岗。　　6、完成领导交办的其他事项。7、固定资产、低值易耗品、酒水等盘存。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2006.02-2019.06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1990.04-2019.10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专题博物馆建设与新岭南文化发展研究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1、负责影视动画中的场景与渲染工作；2、制作建筑表现动画，对建筑场景的控制，模型，灯光，材质，小品镜头运动的表现。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2007/11-2011/01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