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萧龙</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13905315105</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辽宁省葫芦岛市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北京外国语大学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核工程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whfwk9ah@3721.net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2007.08-2019.01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杭州天迈网络有限公司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操作SEM广告投放，制定和执行广告投放方案；2、查看检测数据，提供搜索引擎各投放渠道广告数据；3、根据SEM数据分析及优化方案，对账户进行优化操作，达成制定的各项KPI；4、SEM推广数据整理，分析，报告撰写。</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1996/05-2011/06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每日来访客户的接待、总机电话接听；2.负责公司快递收发；3.负责公司日常行政管理工作，包括公司活动组织、办公室环境管理（水、电、绿植等）、与物业的沟通协调等日常结算；4.负责公司办公环境的改善美化；5.上级交办的各项临时任务。</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项目名称：珠三角最低工资标准的执行、影响与对策研究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1996/11-2011/06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项目名称：深圳市光明新区企业劳资关系情况调查与对策研究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2008年03月-2017年03月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电话邀约家长参加中心的公开课；2、通过标准化流程及话术向家长展示能动英语培训的特色（能力培训）;3、完成团队业绩目标，定期总结、分享工作经验与工作心得；4、借助企业平台学习行业前途沿理论知识、并将其运用到工作中。在能动英语，我们需要这</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项目名称：第一次国共合作时期的“党治”实践与华南区域社会研究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1991.11-2019.08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1、负责采购订单的跟进与产品验收工作；2、维护供应商的关系，并开发新供应商；3、根据供应商和订单相关产品信息，与财务沟通进行付款；4、及时对售后问题进行共同反馈；5、完成主管安排的其他工作。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北京外国语大学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核工程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2011.05-2015.05</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北京印刷学院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草学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2003.05-2007.05</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北京警察学院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天文学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2014.02-2018.02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