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滕洁雁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1946年08月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甘肃省兰州市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13203958141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t21qm@sohu.com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2000.12-2004.12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图书情报与档案管理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2003.09-2007.09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航空航天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1996/07-2015/10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武汉江寓生活服务有限公司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渠道专员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熟练操作冲洗车或垃圾车，完成作业要求。作业车辆的日常保养工作完成上级交代的其它工作。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2005/06-2015/03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武汉新视野风险管理科技有限公司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企划主管/专员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1991/02-2011/07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1990/12-2019/01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广州奇纭贸易有限公司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客服部/收银部主管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1998.12-2011.04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1992/04-2012/01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2003.08-2012.01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