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凤思</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男</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36</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15104226174</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浙江省杭州市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北京市总工会职工大学</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地理科学</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q8eg4nmv@sohu.com</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高中</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1998年03月-2014年09月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上海大丁自动化科技有限公司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根据公司的经营计划制定商品展示规范，制订商品陈列标准手册及每季新品陈列手册并执行落实到终端；2、根据节日、推广活动主题及店铺陈列问题，结合店铺实际情况制作陈列方案，监督执行到终端；3、执行店铺形象陈列与维护，日常店柜的陈列指导工作；4、负责制作陈列标准推广课件，确保各级加盟商店铺陈列标准化，促进店铺形象提升；5、了解竞争品牌视觉陈列方面的活动、市场和主要街区的陈列趋势；6、直营店铺陈列管理与监督，新开店及整改店的陈列支持；7、责任心强，忠诚度高，色彩敏感度高，有一定培训演讲能力，具有良好的沟通协调能力及项目统筹实施经验，能独立开展工作，可适应出差；</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2000.12-2011.11</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四川金勤置业集团有限公司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1、负责公司软件产品的推广和销售工作。2、负责企业客户的开发、跟进、签约、跟踪协调等工作。3、跟进运营部计划，完成任务。4、与商务、企划合作制定销售整体解决方案。</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2003/06-2013/04</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上海青乾科技有限公司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定期组织进行过程质量审核和产品质量审核；2、负责组织贯彻公司的质量方针、制定质量目标和完成管理者代表所安排的各项工作；3、负责在有可追溯性要求的场合，组织建立并实施批次管理或质量跟踪制度；4、负责原、辅材料和外购外协产品的进货检验和试验及产品加工的最终检验和试验，作出是否合格的判定并对判定结果的准确性承担责任；5、负责策划并组织实施质量和生产效率的持续改进；统计技术应用的指导与控制；6、负责不合格品的标识、记录与隔离；对批量不合格品进行评审，并提出处置建议；组织制订纠正和预防措施，并跟踪、验证其实施效果；7、负责组织完成产品质量先期策划的各项任务，并编制控制计划；</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1998/05-2019/08</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上海逍鹏生物科技有限公司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审核记账凭证，据实登记各类明细账，并根据审核无误的记账凭证汇总，登记总账2、负责设置本企业会计科目、会计凭证和会计账簿，并指导会计人员做好记账、结账和对账工作3、定期对总账与各类明细账进行结账，并进行总账与明细账的对账，保证账账相符4、月底负责结转各项期间费用及损益类凭证，并据以登账5、编制各种会计报表，编写会计报表附注，进行财务报表分析并上报高层管理人员6、提供管理用财务数据、合并会计报表7、为企业预算编制及管理提供财务数据，为统计人员提供相关财务数据8、为会计事务所审计工作提供各明细账情况表及相关审计资料9、完成上级交付的临时工作及其他任务</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项目名称：清末政府聘用日本军人问题与军事现代化研究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2001/08-2011/03</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公司网络平台的直播才艺展示2、调动直播间气氛，与直播间粉丝及游客沟通、互动3、网络直播内容需严格遵守法律法规，杜绝一切低俗不健康行为4、公司提供免费住宿，配备专业培训（舞蹈、声乐等）不定期组织户外拓展，出国旅行、聚餐等福利~5、保底+提成+奖金，工资上不封顶！平均薪资过万，只要你肯干工资不是问题</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项目名称：我国最低工资制度的落实状况及其影响研究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2009.08-2010.04</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1.负责变频器、伺服驱动器整机及部件的测试工作。2.负责按调试标准对产品进行厂内、客户现场调试工作，对项目调试交付负责，确保产品验收。3.负责产品技术服务的支持工作。</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项目名称：中国与印度关系研究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2006/03-2017/06</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转轴新产品的结构研发；产品评估，价格评估，根据客户对转轴的功能及要求，在客户外协尺寸基础上细化内部结构，达到客户要求；2、优化制造工艺，合理选择材料，降低加工成本；3、统一产品制程技术标准，不断对产品制程生产工艺和技术进行革新，降低生产制造成本；4、完成转轴技术沉淀。</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项目名称：“一国两制”视阈下港澳社会心态比较研究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1995/03-2019/10</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总经理日常事务管理，各类会议工作及差旅事务的组织安排；2、协助总经理开展业务工作，包括门店管理、报表撰写、资料整理及报告分析；3、协助总经理进行集团内部的横向沟通，包括集团各门店各部门之间的沟通，协调各部门关系；4、完成总经理交办的其他事务。</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北京市总工会职工大学</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地理科学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2004.08-2008.08</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