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滕珍秀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13208552105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嘉兴高正新材料科技股份有限公司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结构工程师/结构设计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2002/04-2017/12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2003.08-2012.09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1998年07月-2018年09月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1993年10月-2013年09月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北京工商大学嘉华学院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