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D4ED8"/>
          <w:sz w:val="64"/>
        </w:rPr>
        <w:t>SEMANA 14</w:t>
      </w:r>
    </w:p>
    <w:p>
      <w:pPr>
        <w:jc w:val="center"/>
      </w:pPr>
      <w:r>
        <w:rPr>
          <w:rFonts w:ascii="Calibri" w:hAnsi="Calibri"/>
          <w:b/>
          <w:color w:val="1E3A5F"/>
          <w:sz w:val="44"/>
        </w:rPr>
        <w:t>Requerimientos de Sostenibilidad</w:t>
      </w:r>
    </w:p>
    <w:p>
      <w:pPr>
        <w:spacing w:before="320"/>
        <w:jc w:val="center"/>
      </w:pPr>
      <w:r>
        <w:rPr>
          <w:rFonts w:ascii="Calibri" w:hAnsi="Calibri"/>
          <w:color w:val="374151"/>
          <w:sz w:val="32"/>
        </w:rPr>
        <w:t>Proyecto: Muni-Go</w:t>
      </w:r>
    </w:p>
    <w:p>
      <w:pPr>
        <w:jc w:val="center"/>
      </w:pPr>
      <w:r>
        <w:rPr>
          <w:rFonts w:ascii="Calibri" w:hAnsi="Calibri"/>
          <w:i/>
          <w:color w:val="4B5563"/>
          <w:sz w:val="24"/>
        </w:rPr>
        <w:t>Sistema de Gestión de Trámites Municipales Multi-Distrito</w:t>
      </w:r>
    </w:p>
    <w:p/>
    <w:p>
      <w:pPr>
        <w:jc w:val="center"/>
      </w:pPr>
      <w:r>
        <w:rPr>
          <w:color w:val="DBEAFE"/>
          <w:sz w:val="24"/>
        </w:rPr>
        <w:t>━━━━━━━━━━━━━━━━━━━━━━━━━━━━━━━━━━━━━━━━━━━━━━━━━━</w:t>
      </w:r>
    </w:p>
    <w:p/>
    <w:p>
      <w:pPr>
        <w:jc w:val="center"/>
      </w:pPr>
      <w:r>
        <w:rPr>
          <w:rFonts w:ascii="Calibri" w:hAnsi="Calibri"/>
          <w:b/>
          <w:color w:val="1E3A5F"/>
          <w:sz w:val="22"/>
        </w:rPr>
        <w:t xml:space="preserve">Integrantes: </w:t>
      </w:r>
      <w:r>
        <w:rPr>
          <w:rFonts w:ascii="Calibri" w:hAnsi="Calibri"/>
          <w:color w:val="4B5563"/>
          <w:sz w:val="22"/>
        </w:rPr>
        <w:t>Matos Chuquino – Macedo Salas – Beraún García</w:t>
      </w:r>
    </w:p>
    <w:p>
      <w:pPr>
        <w:jc w:val="center"/>
      </w:pPr>
      <w:r>
        <w:rPr>
          <w:rFonts w:ascii="Calibri" w:hAnsi="Calibri"/>
          <w:b/>
          <w:color w:val="1E3A5F"/>
          <w:sz w:val="22"/>
        </w:rPr>
        <w:t xml:space="preserve">Curso: </w:t>
      </w:r>
      <w:r>
        <w:rPr>
          <w:rFonts w:ascii="Calibri" w:hAnsi="Calibri"/>
          <w:color w:val="4B5563"/>
          <w:sz w:val="22"/>
        </w:rPr>
        <w:t>Análisis de Procesos y Funcionalidades (APF)</w:t>
      </w:r>
    </w:p>
    <w:p>
      <w:pPr>
        <w:jc w:val="center"/>
      </w:pPr>
      <w:r>
        <w:rPr>
          <w:rFonts w:ascii="Calibri" w:hAnsi="Calibri"/>
          <w:b/>
          <w:color w:val="1E3A5F"/>
          <w:sz w:val="22"/>
        </w:rPr>
        <w:t xml:space="preserve">Fecha: </w:t>
      </w:r>
      <w:r>
        <w:rPr>
          <w:rFonts w:ascii="Calibri" w:hAnsi="Calibri"/>
          <w:color w:val="4B5563"/>
          <w:sz w:val="22"/>
        </w:rPr>
        <w:t>Julio 2026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  <w:sz w:val="36"/>
        </w:rPr>
        <w:t>Paso 1: Selección de Frameworks de Sostenibilidad</w:t>
      </w:r>
    </w:p>
    <w:p>
      <w:pPr>
        <w:spacing w:after="120"/>
      </w:pPr>
      <w:r>
        <w:rPr>
          <w:rFonts w:ascii="Calibri" w:hAnsi="Calibri"/>
          <w:color w:val="4B5563"/>
          <w:sz w:val="22"/>
        </w:rPr>
        <w:t>Para evaluar la sostenibilidad de Muni-Go, se identificaron y compararon cuatro frameworks de diseño sostenible reconocidos internacionalmente, considerando la naturaleza GovTech del proyecto y su orientación al ciudadano con diversas capacidades tecnológicas.</w:t>
      </w:r>
    </w:p>
    <w:p>
      <w:pPr>
        <w:pStyle w:val="Heading2"/>
      </w:pPr>
      <w:r>
        <w:rPr>
          <w:rFonts w:ascii="Calibri" w:hAnsi="Calibri"/>
          <w:color w:val="1D4ED8"/>
          <w:sz w:val="28"/>
        </w:rPr>
        <w:t>1.1. Frameworks Candidatos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680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2551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Framework</w:t>
            </w:r>
          </w:p>
        </w:tc>
        <w:tc>
          <w:tcPr>
            <w:tcW w:type="dxa" w:w="311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Enfoque principal</w:t>
            </w:r>
          </w:p>
        </w:tc>
        <w:tc>
          <w:tcPr>
            <w:tcW w:type="dxa" w:w="2835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Origen / Referencia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Inclusive Design Toolkit (IDT)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Diseño inclusivo centrado en la diversidad funcional del usuario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Universidad de Cambridge / Microsoft Inclusive Design</w:t>
            </w:r>
          </w:p>
        </w:tc>
      </w:tr>
      <w:tr>
        <w:tc>
          <w:tcPr>
            <w:tcW w:type="dxa" w:w="680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</w:t>
            </w:r>
          </w:p>
        </w:tc>
        <w:tc>
          <w:tcPr>
            <w:tcW w:type="dxa" w:w="2551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Sustainability Awareness Framework (SAF)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Conciencia ambiental y energética en el ciclo de vida del software</w:t>
            </w:r>
          </w:p>
        </w:tc>
        <w:tc>
          <w:tcPr>
            <w:tcW w:type="dxa" w:w="283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Modelo académico de Penzenstadler et al. (IEEE)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GreenSoft Model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Ingeniería de software verde: eficiencia energética y reducción de huella de carbono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Naumann et al. — Green Software Engineering</w:t>
            </w:r>
          </w:p>
        </w:tc>
      </w:tr>
      <w:tr>
        <w:tc>
          <w:tcPr>
            <w:tcW w:type="dxa" w:w="680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4</w:t>
            </w:r>
          </w:p>
        </w:tc>
        <w:tc>
          <w:tcPr>
            <w:tcW w:type="dxa" w:w="2551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ISO 14001 — Sistemas de Gestión Ambiental (adaptado a TI)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Gestión ambiental corporativa, políticas de reducción de impacto ecológico</w:t>
            </w:r>
          </w:p>
        </w:tc>
        <w:tc>
          <w:tcPr>
            <w:tcW w:type="dxa" w:w="283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International Organization for Standardization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D8"/>
          <w:sz w:val="28"/>
        </w:rPr>
        <w:t>1.2. Justificación de la Selección Inicial</w:t>
      </w:r>
    </w:p>
    <w:p>
      <w:pPr>
        <w:spacing w:after="120"/>
      </w:pPr>
      <w:r>
        <w:rPr>
          <w:rFonts w:ascii="Calibri" w:hAnsi="Calibri"/>
          <w:color w:val="4B5563"/>
          <w:sz w:val="22"/>
        </w:rPr>
        <w:t>Muni-Go es un software con un fuerte componente de impacto social: busca reducir la brecha digital entre ciudadanos y sus municipalidades, atendiendo a usuarios con diversas capacidades tecnológicas, cognitivas y de accesibilidad. Por esta razón, se priorizaron frameworks que no solo evalúen aspectos ambientales, sino que contemplen la dimensión social y de inclusión de la sostenibilidad.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  <w:sz w:val="36"/>
        </w:rPr>
        <w:t>Paso 2: Evaluación Comparativa de Frameworks</w:t>
      </w:r>
    </w:p>
    <w:p>
      <w:pPr>
        <w:spacing w:after="120"/>
      </w:pPr>
      <w:r>
        <w:rPr>
          <w:rFonts w:ascii="Calibri" w:hAnsi="Calibri"/>
          <w:color w:val="4B5563"/>
          <w:sz w:val="22"/>
        </w:rPr>
        <w:t>Se evaluó cada framework según cinco criterios clave alineados al contexto del proyecto Muni-Go. Cada criterio se calificó en una escala de 1 a 5 (1 = Muy bajo, 5 = Muy alto).</w:t>
      </w:r>
    </w:p>
    <w:p>
      <w:pPr>
        <w:pStyle w:val="Heading2"/>
      </w:pPr>
      <w:r>
        <w:rPr>
          <w:rFonts w:ascii="Calibri" w:hAnsi="Calibri"/>
          <w:color w:val="1D4ED8"/>
          <w:sz w:val="28"/>
        </w:rPr>
        <w:t>2.1. Criterios de Evaluación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1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4252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850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Peso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C1. Orientación a accesibilidad y diseño inclusivo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¿El framework promueve directamente el diseño para personas con distintas capacidades (visual, cognitiva, motora)?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30%</w:t>
            </w:r>
          </w:p>
        </w:tc>
      </w:tr>
      <w:tr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C2. Aplicabilidad a proyectos web/GovTech</w:t>
            </w:r>
          </w:p>
        </w:tc>
        <w:tc>
          <w:tcPr>
            <w:tcW w:type="dxa" w:w="425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¿Es directamente aplicable a plataformas web de servicios públicos digitales?</w:t>
            </w:r>
          </w:p>
        </w:tc>
        <w:tc>
          <w:tcPr>
            <w:tcW w:type="dxa" w:w="850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25%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C3. Cobertura de dimensiones de sostenibilidad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¿Integra las tres dimensiones: social, ambiental y técnica/económica?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20%</w:t>
            </w:r>
          </w:p>
        </w:tc>
      </w:tr>
      <w:tr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C4. Practicidad de implementación</w:t>
            </w:r>
          </w:p>
        </w:tc>
        <w:tc>
          <w:tcPr>
            <w:tcW w:type="dxa" w:w="425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¿Proporciona guías concretas, checklists o herramientas aplicables al desarrollo de software?</w:t>
            </w:r>
          </w:p>
        </w:tc>
        <w:tc>
          <w:tcPr>
            <w:tcW w:type="dxa" w:w="850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15%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C5. Alineación con principios de usabilidad (Nielsen)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¿Se complementa con los 10 principios heurísticos de Jakob Nielsen ya implementados en el proyecto?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10%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D8"/>
          <w:sz w:val="28"/>
        </w:rPr>
        <w:t>2.2. Matriz de Evaluación Comparativa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402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Criterio (Peso)</w:t>
            </w:r>
          </w:p>
        </w:tc>
        <w:tc>
          <w:tcPr>
            <w:tcW w:type="dxa" w:w="1134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IDT</w:t>
            </w:r>
          </w:p>
        </w:tc>
        <w:tc>
          <w:tcPr>
            <w:tcW w:type="dxa" w:w="1134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SAF</w:t>
            </w:r>
          </w:p>
        </w:tc>
        <w:tc>
          <w:tcPr>
            <w:tcW w:type="dxa" w:w="1134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GreenSoft</w:t>
            </w:r>
          </w:p>
        </w:tc>
        <w:tc>
          <w:tcPr>
            <w:tcW w:type="dxa" w:w="1134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ISO 14001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C1. Accesibilidad e inclusión (30%)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</w:t>
            </w:r>
          </w:p>
        </w:tc>
      </w:tr>
      <w:tr>
        <w:tc>
          <w:tcPr>
            <w:tcW w:type="dxa" w:w="340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C2. Aplicabilidad web/GovTech (25%)</w:t>
            </w:r>
          </w:p>
        </w:tc>
        <w:tc>
          <w:tcPr>
            <w:tcW w:type="dxa" w:w="113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5</w:t>
            </w:r>
          </w:p>
        </w:tc>
        <w:tc>
          <w:tcPr>
            <w:tcW w:type="dxa" w:w="113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4</w:t>
            </w:r>
          </w:p>
        </w:tc>
        <w:tc>
          <w:tcPr>
            <w:tcW w:type="dxa" w:w="113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</w:t>
            </w:r>
          </w:p>
        </w:tc>
        <w:tc>
          <w:tcPr>
            <w:tcW w:type="dxa" w:w="113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C3. Cobertura multidimensional (20%)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</w:t>
            </w:r>
          </w:p>
        </w:tc>
      </w:tr>
      <w:tr>
        <w:tc>
          <w:tcPr>
            <w:tcW w:type="dxa" w:w="340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C4. Practicidad de implementación (15%)</w:t>
            </w:r>
          </w:p>
        </w:tc>
        <w:tc>
          <w:tcPr>
            <w:tcW w:type="dxa" w:w="113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4</w:t>
            </w:r>
          </w:p>
        </w:tc>
        <w:tc>
          <w:tcPr>
            <w:tcW w:type="dxa" w:w="113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</w:t>
            </w:r>
          </w:p>
        </w:tc>
        <w:tc>
          <w:tcPr>
            <w:tcW w:type="dxa" w:w="113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</w:t>
            </w:r>
          </w:p>
        </w:tc>
        <w:tc>
          <w:tcPr>
            <w:tcW w:type="dxa" w:w="113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4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C5. Alineación con Nielsen (10%)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</w:t>
            </w:r>
          </w:p>
        </w:tc>
      </w:tr>
      <w:tr>
        <w:tc>
          <w:tcPr>
            <w:tcW w:type="dxa" w:w="3402"/>
            <w:shd w:fill="F3F4F6" w:val="clear"/>
            <w:shd w:fill="DBEAFE" w:val="clear"/>
          </w:tcPr>
          <w:p>
            <w:r>
              <w:rPr>
                <w:b/>
                <w:color w:val="1D4ED8"/>
              </w:rPr>
            </w:r>
            <w:r>
              <w:rPr>
                <w:rFonts w:ascii="Calibri" w:hAnsi="Calibri"/>
                <w:b/>
                <w:color w:val="1D4ED8"/>
                <w:sz w:val="19"/>
              </w:rPr>
              <w:t>PUNTAJE PONDERADO</w:t>
            </w:r>
          </w:p>
        </w:tc>
        <w:tc>
          <w:tcPr>
            <w:tcW w:type="dxa" w:w="1134"/>
            <w:shd w:fill="F3F4F6" w:val="clear"/>
            <w:shd w:fill="DBEAFE" w:val="clear"/>
          </w:tcPr>
          <w:p>
            <w:r>
              <w:rPr>
                <w:b/>
                <w:color w:val="1D4ED8"/>
              </w:rPr>
            </w:r>
            <w:r>
              <w:rPr>
                <w:rFonts w:ascii="Calibri" w:hAnsi="Calibri"/>
                <w:b/>
                <w:color w:val="1D4ED8"/>
                <w:sz w:val="19"/>
              </w:rPr>
              <w:t>4.65</w:t>
            </w:r>
          </w:p>
        </w:tc>
        <w:tc>
          <w:tcPr>
            <w:tcW w:type="dxa" w:w="1134"/>
            <w:shd w:fill="F3F4F6" w:val="clear"/>
            <w:shd w:fill="DBEAFE" w:val="clear"/>
          </w:tcPr>
          <w:p>
            <w:r>
              <w:rPr>
                <w:b/>
                <w:color w:val="1D4ED8"/>
              </w:rPr>
            </w:r>
            <w:r>
              <w:rPr>
                <w:rFonts w:ascii="Calibri" w:hAnsi="Calibri"/>
                <w:b/>
                <w:color w:val="1D4ED8"/>
                <w:sz w:val="19"/>
              </w:rPr>
              <w:t>3.55</w:t>
            </w:r>
          </w:p>
        </w:tc>
        <w:tc>
          <w:tcPr>
            <w:tcW w:type="dxa" w:w="1134"/>
            <w:shd w:fill="F3F4F6" w:val="clear"/>
            <w:shd w:fill="DBEAFE" w:val="clear"/>
          </w:tcPr>
          <w:p>
            <w:r>
              <w:rPr>
                <w:b/>
                <w:color w:val="1D4ED8"/>
              </w:rPr>
            </w:r>
            <w:r>
              <w:rPr>
                <w:rFonts w:ascii="Calibri" w:hAnsi="Calibri"/>
                <w:b/>
                <w:color w:val="1D4ED8"/>
                <w:sz w:val="19"/>
              </w:rPr>
              <w:t>2.70</w:t>
            </w:r>
          </w:p>
        </w:tc>
        <w:tc>
          <w:tcPr>
            <w:tcW w:type="dxa" w:w="1134"/>
            <w:shd w:fill="F3F4F6" w:val="clear"/>
            <w:shd w:fill="DBEAFE" w:val="clear"/>
          </w:tcPr>
          <w:p>
            <w:r>
              <w:rPr>
                <w:b/>
                <w:color w:val="1D4ED8"/>
              </w:rPr>
            </w:r>
            <w:r>
              <w:rPr>
                <w:rFonts w:ascii="Calibri" w:hAnsi="Calibri"/>
                <w:b/>
                <w:color w:val="1D4ED8"/>
                <w:sz w:val="19"/>
              </w:rPr>
              <w:t>2.40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D8"/>
          <w:sz w:val="28"/>
        </w:rPr>
        <w:t>2.3. Cálculo del Puntaje Ponderado</w:t>
      </w:r>
    </w:p>
    <w:p>
      <w:r>
        <w:rPr>
          <w:rFonts w:ascii="Consolas" w:hAnsi="Consolas"/>
          <w:b/>
          <w:color w:val="1E3A5F"/>
          <w:sz w:val="20"/>
        </w:rPr>
        <w:t xml:space="preserve">IDT = </w:t>
      </w:r>
      <w:r>
        <w:rPr>
          <w:rFonts w:ascii="Consolas" w:hAnsi="Consolas"/>
          <w:color w:val="4B5563"/>
          <w:sz w:val="19"/>
        </w:rPr>
        <w:t>(5×0.30) + (5×0.25) + (4×0.20) + (4×0.15) + (5×0.10) = 1.50 + 1.25 + 0.80 + 0.60 + 0.50 = 4.65</w:t>
      </w:r>
    </w:p>
    <w:p>
      <w:r>
        <w:rPr>
          <w:rFonts w:ascii="Consolas" w:hAnsi="Consolas"/>
          <w:b/>
          <w:color w:val="1E3A5F"/>
          <w:sz w:val="20"/>
        </w:rPr>
        <w:t xml:space="preserve">SAF = </w:t>
      </w:r>
      <w:r>
        <w:rPr>
          <w:rFonts w:ascii="Consolas" w:hAnsi="Consolas"/>
          <w:color w:val="4B5563"/>
          <w:sz w:val="19"/>
        </w:rPr>
        <w:t>(3×0.30) + (4×0.25) + (5×0.20) + (3×0.15) + (2×0.10) = 0.90 + 1.00 + 1.00 + 0.45 + 0.20 = 3.55</w:t>
      </w:r>
    </w:p>
    <w:p>
      <w:r>
        <w:rPr>
          <w:rFonts w:ascii="Consolas" w:hAnsi="Consolas"/>
          <w:b/>
          <w:color w:val="1E3A5F"/>
          <w:sz w:val="20"/>
        </w:rPr>
        <w:t xml:space="preserve">GreenSoft = </w:t>
      </w:r>
      <w:r>
        <w:rPr>
          <w:rFonts w:ascii="Consolas" w:hAnsi="Consolas"/>
          <w:color w:val="4B5563"/>
          <w:sz w:val="19"/>
        </w:rPr>
        <w:t>(2×0.30) + (3×0.25) + (4×0.20) + (3×0.15) + (1×0.10) = 0.60 + 0.75 + 0.80 + 0.45 + 0.10 = 2.70</w:t>
      </w:r>
    </w:p>
    <w:p>
      <w:r>
        <w:rPr>
          <w:rFonts w:ascii="Consolas" w:hAnsi="Consolas"/>
          <w:b/>
          <w:color w:val="1E3A5F"/>
          <w:sz w:val="20"/>
        </w:rPr>
        <w:t xml:space="preserve">ISO 14001 = </w:t>
      </w:r>
      <w:r>
        <w:rPr>
          <w:rFonts w:ascii="Consolas" w:hAnsi="Consolas"/>
          <w:color w:val="4B5563"/>
          <w:sz w:val="19"/>
        </w:rPr>
        <w:t>(2×0.30) + (2×0.25) + (3×0.20) + (4×0.15) + (1×0.10) = 0.60 + 0.50 + 0.60 + 0.60 + 0.10 = 2.40</w:t>
      </w:r>
    </w:p>
    <w:p/>
    <w:p>
      <w:pPr>
        <w:pStyle w:val="Heading2"/>
      </w:pPr>
      <w:r>
        <w:rPr>
          <w:rFonts w:ascii="Calibri" w:hAnsi="Calibri"/>
          <w:color w:val="1D4ED8"/>
          <w:sz w:val="28"/>
        </w:rPr>
        <w:t>2.4. Resultado y Justificación del Framework Ganador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17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Ranking</w:t>
            </w:r>
          </w:p>
        </w:tc>
        <w:tc>
          <w:tcPr>
            <w:tcW w:type="dxa" w:w="4252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Framework</w:t>
            </w:r>
          </w:p>
        </w:tc>
        <w:tc>
          <w:tcPr>
            <w:tcW w:type="dxa" w:w="1701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Puntaje Final</w:t>
            </w:r>
          </w:p>
        </w:tc>
      </w:tr>
      <w:tr>
        <w:tc>
          <w:tcPr>
            <w:tcW w:type="dxa" w:w="1417"/>
            <w:shd w:fill="DCFCE7" w:val="clear"/>
          </w:tcPr>
          <w:p>
            <w:r>
              <w:rPr>
                <w:b/>
                <w:color w:val="059669"/>
              </w:rPr>
            </w:r>
            <w:r>
              <w:rPr>
                <w:rFonts w:ascii="Calibri" w:hAnsi="Calibri"/>
                <w:b/>
                <w:color w:val="059669"/>
                <w:sz w:val="19"/>
              </w:rPr>
              <w:t>🥇 1°</w:t>
            </w:r>
          </w:p>
        </w:tc>
        <w:tc>
          <w:tcPr>
            <w:tcW w:type="dxa" w:w="4252"/>
            <w:shd w:fill="DCFCE7" w:val="clear"/>
          </w:tcPr>
          <w:p>
            <w:r>
              <w:rPr>
                <w:b/>
                <w:color w:val="059669"/>
              </w:rPr>
            </w:r>
            <w:r>
              <w:rPr>
                <w:rFonts w:ascii="Calibri" w:hAnsi="Calibri"/>
                <w:b/>
                <w:color w:val="059669"/>
                <w:sz w:val="19"/>
              </w:rPr>
              <w:t>Inclusive Design Toolkit (IDT)</w:t>
            </w:r>
          </w:p>
        </w:tc>
        <w:tc>
          <w:tcPr>
            <w:tcW w:type="dxa" w:w="1701"/>
            <w:shd w:fill="DCFCE7" w:val="clear"/>
          </w:tcPr>
          <w:p>
            <w:r>
              <w:rPr>
                <w:b/>
                <w:color w:val="059669"/>
              </w:rPr>
            </w:r>
            <w:r>
              <w:rPr>
                <w:rFonts w:ascii="Calibri" w:hAnsi="Calibri"/>
                <w:b/>
                <w:color w:val="059669"/>
                <w:sz w:val="19"/>
              </w:rPr>
              <w:t>4.65</w:t>
            </w:r>
          </w:p>
        </w:tc>
      </w:tr>
      <w:tr>
        <w:tc>
          <w:tcPr>
            <w:tcW w:type="dxa" w:w="1417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🥈 2°</w:t>
            </w:r>
          </w:p>
        </w:tc>
        <w:tc>
          <w:tcPr>
            <w:tcW w:type="dxa" w:w="425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Sustainability Awareness Framework (SAF)</w:t>
            </w:r>
          </w:p>
        </w:tc>
        <w:tc>
          <w:tcPr>
            <w:tcW w:type="dxa" w:w="1701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3.55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🥉 3°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GreenSoft Model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2.70</w:t>
            </w:r>
          </w:p>
        </w:tc>
      </w:tr>
      <w:tr>
        <w:tc>
          <w:tcPr>
            <w:tcW w:type="dxa" w:w="1417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4°</w:t>
            </w:r>
          </w:p>
        </w:tc>
        <w:tc>
          <w:tcPr>
            <w:tcW w:type="dxa" w:w="425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ISO 14001 (adaptado a TI)</w:t>
            </w:r>
          </w:p>
        </w:tc>
        <w:tc>
          <w:tcPr>
            <w:tcW w:type="dxa" w:w="1701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2.40</w:t>
            </w:r>
          </w:p>
        </w:tc>
      </w:tr>
    </w:tbl>
    <w:p/>
    <w:p>
      <w:pPr>
        <w:spacing w:before="160" w:after="160"/>
      </w:pPr>
      <w:r>
        <w:rPr>
          <w:rFonts w:ascii="Calibri" w:hAnsi="Calibri"/>
          <w:b/>
          <w:color w:val="1D4ED8"/>
          <w:sz w:val="20"/>
        </w:rPr>
        <w:t xml:space="preserve">📌 IMPORTANTE: </w:t>
      </w:r>
      <w:r>
        <w:rPr>
          <w:rFonts w:ascii="Calibri" w:hAnsi="Calibri"/>
          <w:color w:val="4B5563"/>
          <w:sz w:val="20"/>
        </w:rPr>
        <w:t>El Inclusive Design Toolkit (IDT) obtiene el mayor puntaje (4.65/5.00) debido a su alta orientación a accesibilidad y diseño de interfaces inclusivas, lo cual se alinea directamente con la misión de Muni-Go de democratizar el acceso a trámites municipales para ciudadanos de todas las edades, niveles de alfabetización digital y capacidades funcionales.</w:t>
      </w:r>
    </w:p>
    <w:p/>
    <w:p>
      <w:pPr>
        <w:pStyle w:val="Heading3"/>
      </w:pPr>
      <w:r>
        <w:rPr>
          <w:rFonts w:ascii="Calibri" w:hAnsi="Calibri"/>
          <w:color w:val="374151"/>
          <w:sz w:val="24"/>
        </w:rPr>
        <w:t>Razones clave de la selección del IDT:</w:t>
      </w:r>
    </w:p>
    <w:p>
      <w:pPr>
        <w:ind w:left="283"/>
      </w:pPr>
      <w:r>
        <w:rPr>
          <w:rFonts w:ascii="Calibri" w:hAnsi="Calibri"/>
          <w:b/>
          <w:color w:val="1D4ED8"/>
          <w:sz w:val="22"/>
        </w:rPr>
        <w:t xml:space="preserve">1. </w:t>
      </w:r>
      <w:r>
        <w:rPr>
          <w:rFonts w:ascii="Calibri" w:hAnsi="Calibri"/>
          <w:b/>
          <w:color w:val="374151"/>
          <w:sz w:val="22"/>
        </w:rPr>
        <w:t xml:space="preserve">Máxima puntuación en accesibilidad (5/5): </w:t>
      </w:r>
      <w:r>
        <w:rPr>
          <w:rFonts w:ascii="Calibri" w:hAnsi="Calibri"/>
          <w:color w:val="4B5563"/>
          <w:sz w:val="22"/>
        </w:rPr>
        <w:t>El IDT fue diseñado específicamente para guiar el desarrollo de productos que consideren la diversidad funcional humana, que es el eje central de Muni-Go.</w:t>
      </w:r>
    </w:p>
    <w:p>
      <w:pPr>
        <w:ind w:left="283"/>
      </w:pPr>
      <w:r>
        <w:rPr>
          <w:rFonts w:ascii="Calibri" w:hAnsi="Calibri"/>
          <w:b/>
          <w:color w:val="1D4ED8"/>
          <w:sz w:val="22"/>
        </w:rPr>
        <w:t xml:space="preserve">2. </w:t>
      </w:r>
      <w:r>
        <w:rPr>
          <w:rFonts w:ascii="Calibri" w:hAnsi="Calibri"/>
          <w:b/>
          <w:color w:val="374151"/>
          <w:sz w:val="22"/>
        </w:rPr>
        <w:t xml:space="preserve">Perfecta alineación con Nielsen (5/5): </w:t>
      </w:r>
      <w:r>
        <w:rPr>
          <w:rFonts w:ascii="Calibri" w:hAnsi="Calibri"/>
          <w:color w:val="4B5563"/>
          <w:sz w:val="22"/>
        </w:rPr>
        <w:t>Los principios heurísticos de usabilidad ya implementados en Muni-Go (visibilidad del estado del sistema, coincidencia con el mundo real, prevención de errores) son naturalmente complementarios al IDT.</w:t>
      </w:r>
    </w:p>
    <w:p>
      <w:pPr>
        <w:ind w:left="283"/>
      </w:pPr>
      <w:r>
        <w:rPr>
          <w:rFonts w:ascii="Calibri" w:hAnsi="Calibri"/>
          <w:b/>
          <w:color w:val="1D4ED8"/>
          <w:sz w:val="22"/>
        </w:rPr>
        <w:t xml:space="preserve">3. </w:t>
      </w:r>
      <w:r>
        <w:rPr>
          <w:rFonts w:ascii="Calibri" w:hAnsi="Calibri"/>
          <w:b/>
          <w:color w:val="374151"/>
          <w:sz w:val="22"/>
        </w:rPr>
        <w:t xml:space="preserve">Alta aplicabilidad GovTech (5/5): </w:t>
      </w:r>
      <w:r>
        <w:rPr>
          <w:rFonts w:ascii="Calibri" w:hAnsi="Calibri"/>
          <w:color w:val="4B5563"/>
          <w:sz w:val="22"/>
        </w:rPr>
        <w:t>El framework provee metodologías directamente trasladables al diseño de portales de servicios públicos digitales, como el catálogo de trámites y el asistente IA "Manuelito".</w:t>
      </w:r>
    </w:p>
    <w:p>
      <w:pPr>
        <w:ind w:left="283"/>
      </w:pPr>
      <w:r>
        <w:rPr>
          <w:rFonts w:ascii="Calibri" w:hAnsi="Calibri"/>
          <w:b/>
          <w:color w:val="1D4ED8"/>
          <w:sz w:val="22"/>
        </w:rPr>
        <w:t xml:space="preserve">4. </w:t>
      </w:r>
      <w:r>
        <w:rPr>
          <w:rFonts w:ascii="Calibri" w:hAnsi="Calibri"/>
          <w:b/>
          <w:color w:val="374151"/>
          <w:sz w:val="22"/>
        </w:rPr>
        <w:t xml:space="preserve">Cobertura integral (4/5): </w:t>
      </w:r>
      <w:r>
        <w:rPr>
          <w:rFonts w:ascii="Calibri" w:hAnsi="Calibri"/>
          <w:color w:val="4B5563"/>
          <w:sz w:val="22"/>
        </w:rPr>
        <w:t>Aunque el IDT se centra en la dimensión social, también contempla principios de sostenibilidad técnica (mantenibilidad, escalabilidad) y reduce indirectamente el impacto ambiental (menos viajes físicos a la municipalidad).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  <w:sz w:val="36"/>
        </w:rPr>
        <w:t>Paso 3: Aplicación del Framework Inclusive Design Toolkit (IDT) a Muni-Go</w:t>
      </w:r>
    </w:p>
    <w:p>
      <w:pPr>
        <w:spacing w:after="120"/>
      </w:pPr>
      <w:r>
        <w:rPr>
          <w:rFonts w:ascii="Calibri" w:hAnsi="Calibri"/>
          <w:color w:val="4B5563"/>
          <w:sz w:val="22"/>
        </w:rPr>
        <w:t>A continuación, se detalla la aplicación de los 12 aspectos del Inclusive Design Toolkit al sistema Muni-Go, evidenciando con componentes reales del código y la arquitectura del proyecto.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54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1814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Aspecto del Framework IDT</w:t>
            </w:r>
          </w:p>
        </w:tc>
        <w:tc>
          <w:tcPr>
            <w:tcW w:type="dxa" w:w="311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Aplicación directa al sistema Muni-Go</w:t>
            </w:r>
          </w:p>
        </w:tc>
        <w:tc>
          <w:tcPr>
            <w:tcW w:type="dxa" w:w="311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Evidencia técnica en el proyecto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Enfoque del diseño inclusivo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Diseñar el portal de trámites desde cero para ciudadanos con distintas capacidades tecnológicas y cognitivas, usando un lenguaje ciudadano "en cristiano" a través de Manuelito IA. El asistente traduce jerga legal-burocrática a explicaciones simples y conversacionales.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Componente PanelChatbot.jsx: respuestas como "El croquis puede ser dibujado a mano alzada, no necesitas un arquitecto" en lugar de citar normas técnicas.</w:t>
            </w:r>
          </w:p>
        </w:tc>
      </w:tr>
      <w:tr>
        <w:tc>
          <w:tcPr>
            <w:tcW w:type="dxa" w:w="45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2</w:t>
            </w:r>
          </w:p>
        </w:tc>
        <w:tc>
          <w:tcPr>
            <w:tcW w:type="dxa" w:w="181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Comprensión del usuario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Análisis enfocado en ciudadanos mayores o con poca familiaridad digital. Se compensa la falta de conocimiento técnico-legal con explicaciones paso a paso (Línea de tiempo) y un Resumen Inteligente IA que sintetiza cada trámite en lenguaje coloquial.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TramiteDetail.jsx: Sección "Pasos a seguir" con línea de tiempo visual numerada y sección "Resumen Inteligente IA (Manuelito)" que usa getResumenIA().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Evaluación del impacto funcional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Se identificó que ciudadanos con problemas visuales leves quedarían excluidos de plataformas municipales tradicionales. Muni-Go incluye escalabilidad de fuentes y contraste de colores (modo oscuro/claro) con transiciones suaves.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index.css: Variables CSS para prefers-color-scheme: dark con colores de alto contraste. Tailwind CSS: clases dark:bg-[#16171d], dark:text-white en todos los componentes.</w:t>
            </w:r>
          </w:p>
        </w:tc>
      </w:tr>
      <w:tr>
        <w:tc>
          <w:tcPr>
            <w:tcW w:type="dxa" w:w="45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4</w:t>
            </w:r>
          </w:p>
        </w:tc>
        <w:tc>
          <w:tcPr>
            <w:tcW w:type="dxa" w:w="181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Principios de diseño universal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Aplicación de tolerancia al error: Si un ciudadano pregunta algo fuera de contexto, la IA lo redirige amablemente; si hay campos vacíos, el chat no envía el mensaje. Se previenen acciones destructivas con validaciones previas.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PanelChatbot.jsx L53: if (!input.trim()) return; bloquea envíos vacíos. L86-89: respuesta de fallback redirige al ciudadano sin frustración. Botón submit: disabled={!input.trim() || isTyping}.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Generación de ideas inclusivas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Integración de etiquetas semánticas (&lt;nav&gt;, &lt;header&gt;, &lt;aside&gt;) y atributos ARIA (aria-live, aria-label, aria-modal, aria-hidden) en los componentes de React para compatibilidad con lectores de pantalla (NVDA, JAWS).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FaqModal.jsx: role="dialog", aria-modal="true", aria-labelledby="faq-title". PanelChatbot.jsx L122: aria-live="polite". Sidebar.jsx: aria-hidden, inert attribute, aria-label.</w:t>
            </w:r>
          </w:p>
        </w:tc>
      </w:tr>
      <w:tr>
        <w:tc>
          <w:tcPr>
            <w:tcW w:type="dxa" w:w="45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6</w:t>
            </w:r>
          </w:p>
        </w:tc>
        <w:tc>
          <w:tcPr>
            <w:tcW w:type="dxa" w:w="181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Desarrollo del concepto de producto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Producto: Plataforma Web GovTech interactiva multi-distrito (5 municipalidades: Carabayllo, Comas, Los Olivos, SMP y Miraflores). Servicio: Acompañamiento y asistencia en tiempo real para preparación de expedientes documentarios con checklist interactivo.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Dashboard.jsx: Selector dinámico de municipalidades con MunicipalidadContext. TramiteDetail.jsx: Checklist interactivo de requisitos con handleToggleRequisito(). BD: 50 trámites, 5 municipalidades, 10 categorías.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Diseño detallado y técnico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Código frontend optimizado con Tailwind CSS para renderizado ligero y purga de CSS no utilizado. Backend en Spring Boot con PostgreSQL para un consumo eficiente de recursos en el servidor (sostenibilidad técnica/energética). API REST con respuestas JSON mínimas.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Frontend: vite.config.js + Tailwind CSS con tree-shaking. Backend: Arquitectura Hexagonal (domain/model/, application/usecases/, infrastructure/adapters/). BD relacional normalizada con FK y CASCADE.</w:t>
            </w:r>
          </w:p>
        </w:tc>
      </w:tr>
      <w:tr>
        <w:tc>
          <w:tcPr>
            <w:tcW w:type="dxa" w:w="45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8</w:t>
            </w:r>
          </w:p>
        </w:tc>
        <w:tc>
          <w:tcPr>
            <w:tcW w:type="dxa" w:w="181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Prototipado con usuarios reales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(Proyectado) Pruebas de concepto (Wireframes en Balsamiq) iteradas con ciudadanos reales para validar si el "Resumen Inteligente" reduce realmente el tiempo de comprensión del trámite. Plan de testing con 3 perfiles: joven digital, adulto intermedio, adulto mayor.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docs/wireframes.png: Prototipos iniciales del flujo de navegación. Componentes iterados: &lt;FaqModal /&gt; evolucionó de texto estático a accordion interactivo con focus trap para accesibilidad.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Evaluación del diseño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Verificación heurística de los 10 principios de Nielsen, asegurando: (H1) Visibilidad del estado del sistema con indicador "IA escribiendo..." con dots animados; (H2) Coincidencia entre el sistema y el mundo real con iconografía intuitiva; (H4) Consistencia y estándares con design system uniforme.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PanelChatbot.jsx L143-151: Indicador de typing con 3 dots animados (animate-bounce). H5 - Prevención de errores: botón disabled cuando campo vacío. H7 - Flexibilidad: respuestas adaptadas según si hay tramite seleccionado o consulta general.</w:t>
            </w:r>
          </w:p>
        </w:tc>
      </w:tr>
      <w:tr>
        <w:tc>
          <w:tcPr>
            <w:tcW w:type="dxa" w:w="45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10</w:t>
            </w:r>
          </w:p>
        </w:tc>
        <w:tc>
          <w:tcPr>
            <w:tcW w:type="dxa" w:w="181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Sostenibilidad integrada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Social: Inclusión burocrática y reducción de fricción ciudadana al centralizar información de 5 distritos en una Ventanilla Única. Ambiental: Reducción de viajes físicos innecesarios (menor huella de carbono). Técnica: Arquitectura Hexagonal que permite mantenimiento modular sin desechar el sistema completo.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Social: 50 trámites digitalizados con requisitos, costos, plazos y ubicaciones. Ambiental: Formatos PDF descargables, evitando viajes a mesa de partes. Técnica: Capas separadas domain/ → application/ → infrastructure/ permiten cambiar BD o framework sin reescribir lógica.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Iteración y mejora continua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Uso del ciclo Deming (PDCA) constante: Plan (identificar FAQ más consultadas) → Do (implementar respuestas en Manuelito) → Check (monitorear si reduce consultas presenciales) → Act (refactorizar componentes como &lt;FaqModal /&gt; y &lt;PanelChatbot /&gt;).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Evolución documentada: FaqModal.jsx incluye focus trap completo con Tab/Shift+Tab cycling (L29-51). PanelChatbot.jsx incluye escape handler para cerrar (L12-19). Componentes desacoplados y reutilizables para iteración independiente.</w:t>
            </w:r>
          </w:p>
        </w:tc>
      </w:tr>
      <w:tr>
        <w:tc>
          <w:tcPr>
            <w:tcW w:type="dxa" w:w="45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12</w:t>
            </w:r>
          </w:p>
        </w:tc>
        <w:tc>
          <w:tcPr>
            <w:tcW w:type="dxa" w:w="1814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Escalabilidad a otros perfiles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La plataforma está preparada a nivel de base de datos para escalar de "Licencias de Funcionamiento" a todo el catálogo de servicios (Defensa Civil, Obras Privadas, Urbanismo, Registro Civil, Rentas, Transportes, Salud). Integración futura de dictado por voz en el chatbot para ciudadanos con limitaciones motrices.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BD: Tabla municipalidades permite agregar distritos sin modificar código. 10 categorías ya implementadas. PanelChatbot.jsx L168-175: Botón de micrófono (&lt;Mic /&gt;) ya renderizado con title="Próximamente: Dictado por voz" — infraestructura lista para Web Speech API.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  <w:sz w:val="36"/>
        </w:rPr>
        <w:t>Análisis Detallado por Dimensión de Sostenibilidad</w:t>
      </w:r>
    </w:p>
    <w:p>
      <w:pPr>
        <w:pStyle w:val="Heading2"/>
      </w:pPr>
      <w:r>
        <w:rPr>
          <w:rFonts w:ascii="Calibri" w:hAnsi="Calibri"/>
          <w:color w:val="1D4ED8"/>
          <w:sz w:val="28"/>
        </w:rPr>
        <w:t>🟢 Dimensión Social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6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402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Estado actual en Muni-Go</w:t>
            </w:r>
          </w:p>
        </w:tc>
        <w:tc>
          <w:tcPr>
            <w:tcW w:type="dxa" w:w="311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Métrica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Reducción de brecha digital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Asistente IA con lenguaje ciudadano + Resumen Inteligente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50 trámites con explicación simplificada</w:t>
            </w:r>
          </w:p>
        </w:tc>
      </w:tr>
      <w:tr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Accesibilidad WCAG</w:t>
            </w:r>
          </w:p>
        </w:tc>
        <w:tc>
          <w:tcPr>
            <w:tcW w:type="dxa" w:w="340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Atributos ARIA, focus traps, contraste alto, semántica HTML5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aria-live, aria-modal, aria-label en 100% de modales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Inclusión geográfica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Multi-distrito en una sola plataforma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5 municipalidades activas, escalable a N</w:t>
            </w:r>
          </w:p>
        </w:tc>
      </w:tr>
      <w:tr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Transparencia</w:t>
            </w:r>
          </w:p>
        </w:tc>
        <w:tc>
          <w:tcPr>
            <w:tcW w:type="dxa" w:w="340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Costos, plazos y requisitos visibles sin ir presencialmente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Datos en tiempo real desde API REST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D8"/>
          <w:sz w:val="28"/>
        </w:rPr>
        <w:t>🌿 Dimensión Ambiental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6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402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Estado actual en Muni-Go</w:t>
            </w:r>
          </w:p>
        </w:tc>
        <w:tc>
          <w:tcPr>
            <w:tcW w:type="dxa" w:w="311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Impacto estimado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Reducción de viajes físicos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Toda la información del trámite disponible en línea + formatos descargables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Ahorro estimado de 2-3 viajes por trámite × ciudadano</w:t>
            </w:r>
          </w:p>
        </w:tc>
      </w:tr>
      <w:tr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Digitalización de documentos</w:t>
            </w:r>
          </w:p>
        </w:tc>
        <w:tc>
          <w:tcPr>
            <w:tcW w:type="dxa" w:w="340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Formatos PDF pre-llenables descargables desde la plataforma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10 formatos digitalizados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Optimización de recursos servidor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Tailwind CSS con tree-shaking + API REST con payloads JSON mínimos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CSS bundle optimizado, respuestas &lt; 50KB</w:t>
            </w:r>
          </w:p>
        </w:tc>
      </w:tr>
      <w:tr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Reducción de papel</w:t>
            </w:r>
          </w:p>
        </w:tc>
        <w:tc>
          <w:tcPr>
            <w:tcW w:type="dxa" w:w="340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Información digital reemplaza folletos y guías impresas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Eliminación de material impreso informativo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D8"/>
          <w:sz w:val="28"/>
        </w:rPr>
        <w:t>⚙️ Dimensión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6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402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Estado actual en Muni-Go</w:t>
            </w:r>
          </w:p>
        </w:tc>
        <w:tc>
          <w:tcPr>
            <w:tcW w:type="dxa" w:w="311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Detalle arquitectónico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Mantenibilidad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Arquitectura Hexagonal (Puertos y Adaptadores)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domain/ independiente de infrastructure/</w:t>
            </w:r>
          </w:p>
        </w:tc>
      </w:tr>
      <w:tr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Modularidad frontend</w:t>
            </w:r>
          </w:p>
        </w:tc>
        <w:tc>
          <w:tcPr>
            <w:tcW w:type="dxa" w:w="340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Componentes React desacoplados y reutilizables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PanelChatbot, FaqModal, TramiteCard, Sidebar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Escalabilidad de datos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Modelo relacional normalizado con FK y CASCADE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6 tablas: municipalidades, tramites, requisitos, formatos, pasos, lugares</w:t>
            </w:r>
          </w:p>
        </w:tc>
      </w:tr>
      <w:tr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Despliegue sostenible</w:t>
            </w:r>
          </w:p>
        </w:tc>
        <w:tc>
          <w:tcPr>
            <w:tcW w:type="dxa" w:w="3402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Frontend y Backend desplegados en Render + BD en Supabase</w:t>
            </w:r>
          </w:p>
        </w:tc>
        <w:tc>
          <w:tcPr>
            <w:tcW w:type="dxa" w:w="311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Infraestructura cloud con auto-scaling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Testabilidad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Capas de dominio sin dependencias externas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domain/ports/ define interfaces, infrastructure/adapters/ las implementa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  <w:sz w:val="36"/>
        </w:rPr>
        <w:t>Mapeo: Principios de Nielsen ↔ Aspectos del IDT Aplicados</w:t>
      </w:r>
    </w:p>
    <w:p>
      <w:pPr>
        <w:spacing w:after="120"/>
      </w:pPr>
      <w:r>
        <w:rPr>
          <w:rFonts w:ascii="Calibri" w:hAnsi="Calibri"/>
          <w:color w:val="4B5563"/>
          <w:sz w:val="22"/>
        </w:rPr>
        <w:t>La siguiente tabla establece la correlación directa entre los 10 principios heurísticos de Jakob Nielsen y los aspectos del Inclusive Design Toolkit (IDT) aplicados en Muni-Go, demostrando la sinergia natural entre ambos marcos de referencia.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35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Principio de Nielsen</w:t>
            </w:r>
          </w:p>
        </w:tc>
        <w:tc>
          <w:tcPr>
            <w:tcW w:type="dxa" w:w="2268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Aspecto IDT relacionado</w:t>
            </w:r>
          </w:p>
        </w:tc>
        <w:tc>
          <w:tcPr>
            <w:tcW w:type="dxa" w:w="3685"/>
            <w:shd w:fill="1D4ED8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Implementación en Muni-Go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H1. Visibilidad del estado del sistema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9 (Evaluación)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Indicador "IA escribiendo..." con dots animados; spinner de carga en TramiteDetail</w:t>
            </w:r>
          </w:p>
        </w:tc>
      </w:tr>
      <w:tr>
        <w:tc>
          <w:tcPr>
            <w:tcW w:type="dxa" w:w="283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H2. Coincidencia sistema-mundo real</w:t>
            </w:r>
          </w:p>
        </w:tc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1 (Enfoque inclusivo)</w:t>
            </w:r>
          </w:p>
        </w:tc>
        <w:tc>
          <w:tcPr>
            <w:tcW w:type="dxa" w:w="368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Lenguaje "en cristiano" de Manuelito; iconografía intuitiva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H3. Control y libertad del usuario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4 (Diseño universal)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Escape para cerrar modales/chatbot; navegación con breadcrumbs</w:t>
            </w:r>
          </w:p>
        </w:tc>
      </w:tr>
      <w:tr>
        <w:tc>
          <w:tcPr>
            <w:tcW w:type="dxa" w:w="283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H4. Consistencia y estándares</w:t>
            </w:r>
          </w:p>
        </w:tc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7 (Diseño técnico)</w:t>
            </w:r>
          </w:p>
        </w:tc>
        <w:tc>
          <w:tcPr>
            <w:tcW w:type="dxa" w:w="368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Design system uniforme con Tailwind; colores y tipografía consistentes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H5. Prevención de errores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4 (Diseño universal)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Botón submit deshabilitado si campo vacío; validación de inputs</w:t>
            </w:r>
          </w:p>
        </w:tc>
      </w:tr>
      <w:tr>
        <w:tc>
          <w:tcPr>
            <w:tcW w:type="dxa" w:w="283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H6. Reconocimiento sobre recuerdo</w:t>
            </w:r>
          </w:p>
        </w:tc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2 (Comprensión usuario)</w:t>
            </w:r>
          </w:p>
        </w:tc>
        <w:tc>
          <w:tcPr>
            <w:tcW w:type="dxa" w:w="368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Checklist visual de requisitos; categorías con iconos identificables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H7. Flexibilidad y eficiencia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12 (Escalabilidad)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Chatbot contextual (con/sin trámite); selector de municipalidad</w:t>
            </w:r>
          </w:p>
        </w:tc>
      </w:tr>
      <w:tr>
        <w:tc>
          <w:tcPr>
            <w:tcW w:type="dxa" w:w="283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H8. Diseño estético y minimalista</w:t>
            </w:r>
          </w:p>
        </w:tc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7 (Diseño técnico)</w:t>
            </w:r>
          </w:p>
        </w:tc>
        <w:tc>
          <w:tcPr>
            <w:tcW w:type="dxa" w:w="368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Interfaz limpia con espaciado generoso; información jerarquizada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H9. Ayuda a reconocer errores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4 (Diseño universal)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Mensajes de error claros con botón "Volver al Catálogo"</w:t>
            </w:r>
          </w:p>
        </w:tc>
      </w:tr>
      <w:tr>
        <w:tc>
          <w:tcPr>
            <w:tcW w:type="dxa" w:w="283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H10. Ayuda y documentación</w:t>
            </w:r>
          </w:p>
        </w:tc>
        <w:tc>
          <w:tcPr>
            <w:tcW w:type="dxa" w:w="2268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Aspecto 1 (Enfoque inclusivo)</w:t>
            </w:r>
          </w:p>
        </w:tc>
        <w:tc>
          <w:tcPr>
            <w:tcW w:type="dxa" w:w="3685"/>
            <w:shd w:fill="F3F4F6" w:val="clear"/>
          </w:tcPr>
          <w:p>
            <w:r/>
            <w:r>
              <w:rPr>
                <w:rFonts w:ascii="Calibri" w:hAnsi="Calibri"/>
                <w:color w:val="374151"/>
                <w:sz w:val="19"/>
              </w:rPr>
              <w:t>FAQ modal accesible; Asistente IA siempre disponible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  <w:sz w:val="36"/>
        </w:rPr>
        <w:t>Conclusiones</w:t>
      </w:r>
    </w:p>
    <w:p>
      <w:pPr>
        <w:spacing w:after="200"/>
        <w:ind w:left="283"/>
      </w:pPr>
      <w:r>
        <w:rPr>
          <w:rFonts w:ascii="Calibri" w:hAnsi="Calibri"/>
          <w:b/>
          <w:color w:val="1D4ED8"/>
          <w:sz w:val="22"/>
        </w:rPr>
        <w:t xml:space="preserve">1. </w:t>
      </w:r>
      <w:r>
        <w:rPr>
          <w:rFonts w:ascii="Calibri" w:hAnsi="Calibri"/>
          <w:b/>
          <w:color w:val="374151"/>
          <w:sz w:val="22"/>
        </w:rPr>
        <w:t xml:space="preserve">El Inclusive Design Toolkit (IDT) es el framework más adecuado </w:t>
      </w:r>
      <w:r>
        <w:rPr>
          <w:rFonts w:ascii="Calibri" w:hAnsi="Calibri"/>
          <w:color w:val="4B5563"/>
          <w:sz w:val="22"/>
        </w:rPr>
        <w:t>para evaluar la sostenibilidad de Muni-Go (puntaje: 4.65/5.00), dado que el proyecto prioriza la reducción de la brecha digital y la inclusión ciudadana.</w:t>
      </w:r>
    </w:p>
    <w:p>
      <w:pPr>
        <w:spacing w:after="200"/>
        <w:ind w:left="283"/>
      </w:pPr>
      <w:r>
        <w:rPr>
          <w:rFonts w:ascii="Calibri" w:hAnsi="Calibri"/>
          <w:b/>
          <w:color w:val="1D4ED8"/>
          <w:sz w:val="22"/>
        </w:rPr>
        <w:t xml:space="preserve">2. </w:t>
      </w:r>
      <w:r>
        <w:rPr>
          <w:rFonts w:ascii="Calibri" w:hAnsi="Calibri"/>
          <w:b/>
          <w:color w:val="374151"/>
          <w:sz w:val="22"/>
        </w:rPr>
        <w:t xml:space="preserve">Los 12 aspectos del IDT se aplican directamente </w:t>
      </w:r>
      <w:r>
        <w:rPr>
          <w:rFonts w:ascii="Calibri" w:hAnsi="Calibri"/>
          <w:color w:val="4B5563"/>
          <w:sz w:val="22"/>
        </w:rPr>
        <w:t>a componentes existentes del proyecto, demostrando que la sostenibilidad no fue una adición posterior sino un principio de diseño desde la concepción.</w:t>
      </w:r>
    </w:p>
    <w:p>
      <w:pPr>
        <w:spacing w:after="200"/>
        <w:ind w:left="283"/>
      </w:pPr>
      <w:r>
        <w:rPr>
          <w:rFonts w:ascii="Calibri" w:hAnsi="Calibri"/>
          <w:b/>
          <w:color w:val="1D4ED8"/>
          <w:sz w:val="22"/>
        </w:rPr>
        <w:t xml:space="preserve">3. </w:t>
      </w:r>
      <w:r>
        <w:rPr>
          <w:rFonts w:ascii="Calibri" w:hAnsi="Calibri"/>
          <w:b/>
          <w:color w:val="374151"/>
          <w:sz w:val="22"/>
        </w:rPr>
        <w:t xml:space="preserve">Las tres dimensiones de sostenibilidad están cubiertas: </w:t>
      </w:r>
      <w:r>
        <w:rPr>
          <w:rFonts w:ascii="Calibri" w:hAnsi="Calibri"/>
          <w:color w:val="4B5563"/>
          <w:sz w:val="22"/>
        </w:rPr>
        <w:t>Social (50 trámites digitalizados con lenguaje ciudadano y accesibilidad WCAG), Ambiental (reducción de viajes físicos y digitalización de formatos), y Técnica (Arquitectura Hexagonal mantenible, modular y escalable).</w:t>
      </w:r>
    </w:p>
    <w:p>
      <w:pPr>
        <w:spacing w:after="200"/>
        <w:ind w:left="283"/>
      </w:pPr>
      <w:r>
        <w:rPr>
          <w:rFonts w:ascii="Calibri" w:hAnsi="Calibri"/>
          <w:b/>
          <w:color w:val="1D4ED8"/>
          <w:sz w:val="22"/>
        </w:rPr>
        <w:t xml:space="preserve">4. </w:t>
      </w:r>
      <w:r>
        <w:rPr>
          <w:rFonts w:ascii="Calibri" w:hAnsi="Calibri"/>
          <w:b/>
          <w:color w:val="374151"/>
          <w:sz w:val="22"/>
        </w:rPr>
        <w:t xml:space="preserve">La complementariedad IDT + Nielsen </w:t>
      </w:r>
      <w:r>
        <w:rPr>
          <w:rFonts w:ascii="Calibri" w:hAnsi="Calibri"/>
          <w:color w:val="4B5563"/>
          <w:sz w:val="22"/>
        </w:rPr>
        <w:t>genera una sinergia natural: los principios heurísticos de usabilidad garantizan la calidad de la experiencia, mientras el IDT asegura que esa experiencia sea accesible para toda la diversidad ciudadana.</w:t>
      </w:r>
    </w:p>
    <w:p/>
    <w:p>
      <w:pPr>
        <w:spacing w:before="320"/>
      </w:pPr>
      <w:r>
        <w:rPr>
          <w:rFonts w:ascii="Calibri" w:hAnsi="Calibri"/>
          <w:i/>
          <w:color w:val="4B5563"/>
          <w:sz w:val="18"/>
        </w:rPr>
        <w:t>Nota: Este análisis fue realizado tomando como base el código fuente actual del repositorio Muni-Go (julio 2026), incluyendo los componentes React del frontend (PanelChatbot.jsx, FaqModal.jsx, TramiteDetail.jsx, Sidebar.jsx), la arquitectura hexagonal del backend (Spring Boot + PostgreSQL) y el esquema de base de datos con 5 municipalidades y 50 trámites.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