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84" w:rsidRPr="00BC5984" w:rsidRDefault="00BC5984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/>
          <w:color w:val="222222"/>
          <w:sz w:val="21"/>
          <w:szCs w:val="21"/>
        </w:rPr>
      </w:pPr>
      <w:r>
        <w:rPr>
          <w:rFonts w:ascii="Arial" w:hAnsi="Arial" w:cs="Arial"/>
          <w:b/>
          <w:color w:val="222222"/>
          <w:sz w:val="21"/>
          <w:szCs w:val="21"/>
        </w:rPr>
        <w:t>Resultados natalidad</w:t>
      </w:r>
      <w:bookmarkStart w:id="0" w:name="_GoBack"/>
      <w:bookmarkEnd w:id="0"/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En el tercer trimestre del año 2016 se produjeron en Andalucía 12.220 matrimonios, 20.931 nacimientos y 16.184 defunciones, según los datos provisionales de las Estadísticas del Movimiento Natural de la Población (MNP) que publica hoy el Instituto de Estadística y Cartografía de Andalucía. Estas cifras suponen aumentos del 4,7% en matrimonios y del 1,3% tanto en nacimientos como en defunciones, respecto al mismo trimestre de 2015.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Como resultado, el crecimiento natural en Andalucía (diferencia entre los nacimientos y las defunciones) ha sido positivo (4.747 personas).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Style w:val="nfasis"/>
          <w:rFonts w:ascii="Arial" w:hAnsi="Arial" w:cs="Arial"/>
          <w:b/>
          <w:bCs/>
          <w:color w:val="222222"/>
          <w:sz w:val="18"/>
          <w:szCs w:val="18"/>
        </w:rPr>
        <w:t>Evolución de los eventos en el tercer trimestre de cada año.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617407"/>
          <w:sz w:val="21"/>
          <w:szCs w:val="21"/>
        </w:rPr>
        <w:drawing>
          <wp:inline distT="0" distB="0" distL="0" distR="0">
            <wp:extent cx="5781675" cy="3257550"/>
            <wp:effectExtent l="0" t="0" r="9525" b="0"/>
            <wp:docPr id="1" name="Imagen 1" descr="Evolución de los eventos en el tercer trimestre de cada año. Andalucí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olución de los eventos en el tercer trimestre de cada año. Andalucí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De los 12.220 matrimonios, 235 fueron entre personas del mismo sexo (1,9% del total). El 51,1% de estas uniones fueron entre hombres.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 8,1% de los matrimonios (986) correspondieron a uniones en las que algún miembro era extranjero, cifra que supone un aumento del 0,2% respecto al tercer trimestre de 2015. Los matrimonios entre españoles aumentaron un 4,6% en relación con el mismo periodo del año anterior.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En este trimestre se produjeron 20.596 partos de los que el 1,9% fueron partos múltiples.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Estos partos dieron lugar a 20.931 nacimientos (nacidos vivos) y más de la mitad (51,6%) fueron niños. En cuanto al estado civil de las madres, el 53,9% de los nacimientos correspondieron a madres casadas (frente al 57,1% en el mismo trimestre de 2015). Los nacimientos en los que algún progenitor era extranjero fueron 2.901 y supusieron el 13,9% del total, destacando las provincias de Almería y Málaga, donde este porcentaje se situó en el 32,9% y 20,4% respectivamente.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La edad media de las madres fue de 32,2 años. En el 34,5% de los nacimientos, las madres tenían una edad comprendida entre los 30 y los 34 años, siguiéndole en importancia el volumen de madres entre 35 y 39 años, con un 26,7%.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En cuanto a las defunciones, el 51,8% fueron hombres. El 67,6% de las defunciones ocurridas en este periodo correspondieron a personas mayores de 75 años, siendo más frecuentes entre 85 y 89 años (19,6%). Desagregando por sexo, este mismo grupo de edad sigue siendo el de mayor frecuencia entre las mujeres (23,8%), mientras que el 17,8% de las defunciones de hombres se produjeron entre los 80 y 84 años.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Las defunciones de extranjeros representaron el 3,9% del total.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 41,9% de las defunciones correspondieron a personas casadas, seguido del 38,8% que representaron las personas viudas. El estado civil más frecuente entre los hombres difuntos fue el de casado (58,7%), mientras que para las mujeres fue el de viuda (60,1%).</w:t>
      </w:r>
    </w:p>
    <w:p w:rsidR="00572586" w:rsidRDefault="00572586"/>
    <w:sectPr w:rsidR="0057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DD"/>
    <w:rsid w:val="00460DDD"/>
    <w:rsid w:val="00572586"/>
    <w:rsid w:val="00BC5984"/>
    <w:rsid w:val="00F2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45A34-02A7-4C5F-A235-E29093D0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21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juntadeandalucia.es/institutodeestadisticaycartografia/blog/wp-content/uploads/2017/04/graf1-9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2193</Characters>
  <Application>Microsoft Office Word</Application>
  <DocSecurity>0</DocSecurity>
  <Lines>18</Lines>
  <Paragraphs>5</Paragraphs>
  <ScaleCrop>false</ScaleCrop>
  <Company>Universidad de Jaén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vdiuja</dc:creator>
  <cp:keywords/>
  <dc:description/>
  <cp:lastModifiedBy>vdiuja</cp:lastModifiedBy>
  <cp:revision>3</cp:revision>
  <dcterms:created xsi:type="dcterms:W3CDTF">2017-06-21T10:01:00Z</dcterms:created>
  <dcterms:modified xsi:type="dcterms:W3CDTF">2017-06-21T10:05:00Z</dcterms:modified>
</cp:coreProperties>
</file>