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91F3" w14:textId="77777777"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2B54E79A" w14:textId="77777777"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7345CDFE" w14:textId="77777777" w:rsidR="009C52C1" w:rsidRDefault="009C52C1" w:rsidP="00C160A6">
      <w:pPr>
        <w:pStyle w:val="BodyText"/>
        <w:spacing w:line="360" w:lineRule="auto"/>
        <w:rPr>
          <w:rFonts w:ascii="Helvetica LT Std" w:hAnsi="Helvetica LT Std" w:cs="Calibri"/>
          <w:sz w:val="22"/>
        </w:rPr>
      </w:pPr>
    </w:p>
    <w:p w14:paraId="57FC7B50" w14:textId="77777777"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0C139770" w14:textId="77777777" w:rsidR="00F86FAE" w:rsidRDefault="00F86FAE" w:rsidP="00C160A6">
      <w:pPr>
        <w:pStyle w:val="BodyText"/>
        <w:spacing w:line="360" w:lineRule="auto"/>
        <w:rPr>
          <w:rFonts w:ascii="Helvetica LT Std" w:hAnsi="Helvetica LT Std" w:cs="Calibri"/>
          <w:sz w:val="22"/>
        </w:rPr>
      </w:pPr>
    </w:p>
    <w:p w14:paraId="66A56253"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71BA04A8" w14:textId="77777777" w:rsidR="00F86FAE" w:rsidRPr="00F86FAE" w:rsidRDefault="00F86FAE" w:rsidP="00F86FAE">
      <w:pPr>
        <w:pStyle w:val="BodyText"/>
        <w:spacing w:line="360" w:lineRule="auto"/>
        <w:rPr>
          <w:rFonts w:ascii="Helvetica LT Std" w:hAnsi="Helvetica LT Std" w:cs="Calibri"/>
          <w:sz w:val="22"/>
        </w:rPr>
      </w:pPr>
    </w:p>
    <w:p w14:paraId="0851A090"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3E896DA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393FB7F8" w14:textId="77777777" w:rsidR="00F86FAE" w:rsidRPr="00F86FAE" w:rsidRDefault="00F86FAE" w:rsidP="00F86FAE">
      <w:pPr>
        <w:pStyle w:val="BodyText"/>
        <w:spacing w:line="360" w:lineRule="auto"/>
        <w:rPr>
          <w:rFonts w:ascii="Helvetica LT Std" w:hAnsi="Helvetica LT Std" w:cs="Calibri"/>
          <w:sz w:val="22"/>
        </w:rPr>
      </w:pPr>
    </w:p>
    <w:p w14:paraId="5C816FF2"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Los terrenos volcánicos canarios presentan un potencial de radón significativo: la totalidad de los municipios de Gran Canaria y la práctica totalidad de los de Tenerife figuran como «Zona II» en el apéndice B de la sección HS6 del Código Técnico de la Edificación y son, por ello, términos municipales de actuación prioritaria contra el radón (Instrucción IS-47 del CSN). Por ello, las islas se consideran territorio de riesgo elevado.</w:t>
      </w:r>
    </w:p>
    <w:p w14:paraId="6CB0825C" w14:textId="77777777" w:rsidR="00F86FAE" w:rsidRPr="00F86FAE" w:rsidRDefault="00F86FAE" w:rsidP="00F86FAE">
      <w:pPr>
        <w:pStyle w:val="BodyText"/>
        <w:spacing w:line="360" w:lineRule="auto"/>
        <w:rPr>
          <w:rFonts w:ascii="Helvetica LT Std" w:hAnsi="Helvetica LT Std" w:cs="Calibri"/>
          <w:sz w:val="22"/>
        </w:rPr>
      </w:pPr>
    </w:p>
    <w:p w14:paraId="4A85EF65"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0F3DC5CB" w14:textId="77777777" w:rsidR="00F86FAE" w:rsidRPr="00F86FAE" w:rsidRDefault="00F86FAE" w:rsidP="00F86FAE">
      <w:pPr>
        <w:pStyle w:val="BodyText"/>
        <w:spacing w:line="360" w:lineRule="auto"/>
        <w:rPr>
          <w:rFonts w:ascii="Helvetica LT Std" w:hAnsi="Helvetica LT Std" w:cs="Calibri"/>
          <w:sz w:val="22"/>
        </w:rPr>
      </w:pPr>
    </w:p>
    <w:p w14:paraId="4FD9B6E4" w14:textId="77777777"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 xml:space="preserve">En el Real Decreto 1029/2022, de 20 de diciembre, se aprobó el Reglamento sobre protección de la salud contra los riesgos derivados de la exposición a las radiaciones ionizantes (RPSI), que establece para el radón en recintos cerrados un nivel de referencia de 300 </w:t>
      </w:r>
      <w:proofErr w:type="spellStart"/>
      <w:r>
        <w:rPr>
          <w:rFonts w:ascii="Helvetica LT Std" w:hAnsi="Helvetica LT Std" w:cs="Calibri"/>
          <w:sz w:val="22"/>
        </w:rPr>
        <w:t>becquerelios</w:t>
      </w:r>
      <w:proofErr w:type="spellEnd"/>
      <w:r>
        <w:rPr>
          <w:rFonts w:ascii="Helvetica LT Std" w:hAnsi="Helvetica LT Std" w:cs="Calibri"/>
          <w:sz w:val="22"/>
        </w:rPr>
        <w:t xml:space="preserve"> por metro cúbico (Bq/m³), en términos de promedio anual de concentración en aire (artículo 72.a). El nivel de referencia no es un límite que no pueda rebasarse, sino el valor por encima del cual se considera inapropiado permitir que se produzcan exposiciones y que obliga a actuar (artículo 4.58). En concreto,</w:t>
      </w:r>
    </w:p>
    <w:p w14:paraId="6E4A20DE" w14:textId="77777777"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reglamento incluye en su ámbito de aplicación la exposición de trabajadores o de miembros del público al radón en recintos cerrados (artículo 2.1.c</w:t>
      </w:r>
      <w:proofErr w:type="gramStart"/>
      <w:r>
        <w:rPr>
          <w:rFonts w:ascii="Helvetica LT Std" w:hAnsi="Helvetica LT Std" w:cs="Calibri"/>
          <w:sz w:val="22"/>
        </w:rPr>
        <w:t>).3.º</w:t>
      </w:r>
      <w:proofErr w:type="gramEnd"/>
      <w:r>
        <w:rPr>
          <w:rFonts w:ascii="Helvetica LT Std" w:hAnsi="Helvetica LT Std" w:cs="Calibri"/>
          <w:sz w:val="22"/>
        </w:rPr>
        <w:t>) y establece en su artículo 75.1 la obligación de estimar el promedio anual de concentración de radón en aire en los lugares de trabajo afectados, entre ellos todos los situados en planta baja o bajo rasante de los términos municipales de actuación prioritaria (artículo 75.1.c).</w:t>
      </w:r>
    </w:p>
    <w:p w14:paraId="2CDBCEE6" w14:textId="77777777" w:rsidR="006105D3" w:rsidRDefault="006105D3" w:rsidP="00C160A6">
      <w:pPr>
        <w:pStyle w:val="BodyText"/>
        <w:spacing w:line="360" w:lineRule="auto"/>
        <w:rPr>
          <w:rFonts w:ascii="Helvetica LT Std" w:hAnsi="Helvetica LT Std" w:cs="Calibri"/>
          <w:sz w:val="22"/>
        </w:rPr>
      </w:pPr>
    </w:p>
    <w:p w14:paraId="079D16C3" w14:textId="77777777"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t>El Consejo de Seguridad Nuclear (CSN) aprobó la Instrucción IS-47, de 9 de abril de 2025 (BOE núm. 105, de 1 de mayo de 2025; en vigor desde el 2 de mayo de 2025),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307EFC13" w14:textId="77777777" w:rsidR="006105D3" w:rsidRDefault="006105D3" w:rsidP="00C160A6">
      <w:pPr>
        <w:pStyle w:val="BodyText"/>
        <w:spacing w:line="360" w:lineRule="auto"/>
        <w:rPr>
          <w:rFonts w:ascii="Helvetica LT Std" w:hAnsi="Helvetica LT Std" w:cs="Calibri"/>
          <w:sz w:val="22"/>
        </w:rPr>
      </w:pPr>
    </w:p>
    <w:p w14:paraId="12993873" w14:textId="04D75D9C"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incluido como «Zona II» en el apéndice B de la sección HS6 del Documento Básico HS del Código Técnico de la Edificación —la categoría de mayor exigencia de protección— y es, por ello, término municipal de actuación prioritaria contra el radón (artículo tercero de la Instrucción IS-47).</w:t>
      </w:r>
    </w:p>
    <w:p w14:paraId="1B175B90" w14:textId="77777777" w:rsidR="0066391E" w:rsidRDefault="0066391E" w:rsidP="00F607EA">
      <w:pPr>
        <w:pStyle w:val="Heading1"/>
        <w:spacing w:line="360" w:lineRule="auto"/>
        <w:rPr>
          <w:rFonts w:ascii="Helvetica LT Std" w:hAnsi="Helvetica LT Std" w:cs="Arial"/>
        </w:rPr>
      </w:pPr>
    </w:p>
    <w:p w14:paraId="6A20573C" w14:textId="77777777"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75BF9447" w14:textId="77777777" w:rsidR="008F396E" w:rsidRPr="00BB4CBC" w:rsidRDefault="008F396E" w:rsidP="00F607EA">
      <w:pPr>
        <w:spacing w:line="360" w:lineRule="auto"/>
        <w:rPr>
          <w:rFonts w:ascii="Helvetica LT Std" w:hAnsi="Helvetica LT Std"/>
          <w:lang w:val="es-ES_tradnl"/>
        </w:rPr>
      </w:pPr>
    </w:p>
    <w:p w14:paraId="51A84ED2" w14:textId="77777777"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40E49ED6" w14:textId="77777777" w:rsidR="00167A66" w:rsidRPr="00BB4CBC" w:rsidRDefault="00167A66" w:rsidP="00F607EA">
      <w:pPr>
        <w:spacing w:line="360" w:lineRule="auto"/>
        <w:rPr>
          <w:rFonts w:ascii="Helvetica LT Std" w:hAnsi="Helvetica LT Std"/>
          <w:lang w:val="es-ES_tradnl"/>
        </w:rPr>
      </w:pPr>
    </w:p>
    <w:p w14:paraId="1A6AA090" w14:textId="306A94F9" w:rsidR="006A05B9" w:rsidRDefault="00BB435E" w:rsidP="00F607E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adecuados para las mediciones de larga duración que exige la normativa española (artículo 76.2 del Real Decreto 1029/2022 e Instrucción IS-47 del CSN).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654807CD" w14:textId="77777777" w:rsidR="006A05B9" w:rsidRDefault="006A05B9" w:rsidP="00F607EA">
      <w:pPr>
        <w:pStyle w:val="BodyText"/>
        <w:spacing w:line="360" w:lineRule="auto"/>
        <w:rPr>
          <w:rFonts w:ascii="Helvetica LT Std" w:hAnsi="Helvetica LT Std" w:cs="Calibri"/>
          <w:sz w:val="22"/>
        </w:rPr>
      </w:pPr>
    </w:p>
    <w:p w14:paraId="1DAE5BB3" w14:textId="5C55F9E5" w:rsidR="00BB435E"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Estos detectores están compuestos por una película sensible a la radiación ubicada dentro de una cápsula hecha de un plástico antiestático específico que permite la entrada del gas radón por difusión. Estos detectores son inocuos y no interfieren con las personas ni animales. Pueden usarse en cualquier lugar, incluidas zonas donde se manipulan alimentos.</w:t>
      </w:r>
    </w:p>
    <w:p w14:paraId="4500A157" w14:textId="77777777" w:rsidR="00BB435E" w:rsidRPr="00BB4CBC" w:rsidRDefault="00BB435E" w:rsidP="00F607EA">
      <w:pPr>
        <w:pStyle w:val="BodyText"/>
        <w:spacing w:line="360" w:lineRule="auto"/>
        <w:rPr>
          <w:rFonts w:ascii="Helvetica LT Std" w:hAnsi="Helvetica LT Std" w:cs="Calibri"/>
          <w:sz w:val="22"/>
        </w:rPr>
      </w:pPr>
    </w:p>
    <w:p w14:paraId="51DA3051" w14:textId="6960B383"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w:t>
      </w:r>
      <w:proofErr w:type="spellStart"/>
      <w:r>
        <w:rPr>
          <w:rFonts w:ascii="Helvetica LT Std" w:hAnsi="Helvetica LT Std" w:cs="Calibri"/>
          <w:sz w:val="22"/>
        </w:rPr>
        <w:t>Södra</w:t>
      </w:r>
      <w:proofErr w:type="spellEnd"/>
      <w:r>
        <w:rPr>
          <w:rFonts w:ascii="Helvetica LT Std" w:hAnsi="Helvetica LT Std" w:cs="Calibri"/>
          <w:sz w:val="22"/>
        </w:rPr>
        <w:t xml:space="preserve"> </w:t>
      </w:r>
      <w:proofErr w:type="spellStart"/>
      <w:r>
        <w:rPr>
          <w:rFonts w:ascii="Helvetica LT Std" w:hAnsi="Helvetica LT Std" w:cs="Calibri"/>
          <w:sz w:val="22"/>
        </w:rPr>
        <w:t>Depagatan</w:t>
      </w:r>
      <w:proofErr w:type="spellEnd"/>
      <w:r>
        <w:rPr>
          <w:rFonts w:ascii="Helvetica LT Std" w:hAnsi="Helvetica LT Std" w:cs="Calibri"/>
          <w:sz w:val="22"/>
        </w:rPr>
        <w:t xml:space="preserve"> 2, 75 454 Uppsala, Suecia apara ser posteriormente analizados en su laboratorio para la determinación de los resultados. </w:t>
      </w:r>
    </w:p>
    <w:p w14:paraId="5130EA1E" w14:textId="0842ECAB" w:rsidR="00696F5C" w:rsidRDefault="0016364A" w:rsidP="0016364A">
      <w:pPr>
        <w:pStyle w:val="Heading1"/>
        <w:spacing w:line="360" w:lineRule="auto"/>
        <w:rPr>
          <w:rFonts w:ascii="Helvetica LT Std" w:hAnsi="Helvetica LT Std" w:cs="Calibri"/>
          <w:b w:val="0"/>
          <w:bCs w:val="0"/>
          <w:sz w:val="22"/>
          <w:lang w:val="es-ES"/>
        </w:rPr>
      </w:pPr>
      <w:r>
        <w:rPr>
          <w:rFonts w:ascii="Helvetica LT Std" w:hAnsi="Helvetica LT Std" w:cs="Calibri"/>
          <w:b w:val="0"/>
          <w:bCs w:val="0"/>
          <w:sz w:val="22"/>
          <w:lang w:val="es-ES"/>
        </w:rPr>
        <w:t xml:space="preserve">ESTUDIOS DEL TERRENO S.L. es el distribuidor oficial de RADONOVA LABORATORIES AB, laboratorio acreditado para medir radón en aire según la norma ISO/IEC 17025 e incluido en la información sobre laboratorios de medición de radón que publica el Consejo de Seguridad Nuclear (https://www.csn.es/radon).  La empresa </w:t>
      </w:r>
      <w:proofErr w:type="spellStart"/>
      <w:r>
        <w:rPr>
          <w:rFonts w:ascii="Helvetica LT Std" w:hAnsi="Helvetica LT Std" w:cs="Calibri"/>
          <w:b w:val="0"/>
          <w:bCs w:val="0"/>
          <w:sz w:val="22"/>
          <w:lang w:val="es-ES"/>
        </w:rPr>
        <w:t>Radonova</w:t>
      </w:r>
      <w:proofErr w:type="spellEnd"/>
      <w:r>
        <w:rPr>
          <w:rFonts w:ascii="Helvetica LT Std" w:hAnsi="Helvetica LT Std" w:cs="Calibri"/>
          <w:b w:val="0"/>
          <w:bCs w:val="0"/>
          <w:sz w:val="22"/>
          <w:lang w:val="es-ES"/>
        </w:rPr>
        <w:t xml:space="preserve"> </w:t>
      </w:r>
      <w:proofErr w:type="spellStart"/>
      <w:r>
        <w:rPr>
          <w:rFonts w:ascii="Helvetica LT Std" w:hAnsi="Helvetica LT Std" w:cs="Calibri"/>
          <w:b w:val="0"/>
          <w:bCs w:val="0"/>
          <w:sz w:val="22"/>
          <w:lang w:val="es-ES"/>
        </w:rPr>
        <w:t>Laboratories</w:t>
      </w:r>
      <w:proofErr w:type="spellEnd"/>
      <w:r>
        <w:rPr>
          <w:rFonts w:ascii="Helvetica LT Std" w:hAnsi="Helvetica LT Std" w:cs="Calibri"/>
          <w:b w:val="0"/>
          <w:bCs w:val="0"/>
          <w:sz w:val="22"/>
          <w:lang w:val="es-ES"/>
        </w:rPr>
        <w:t xml:space="preserve">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p>
    <w:p w14:paraId="35D8DCC6" w14:textId="77777777" w:rsidR="0016364A" w:rsidRPr="0016364A" w:rsidRDefault="0016364A" w:rsidP="0016364A"/>
    <w:p w14:paraId="5C9263BA"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7708C6CF" w14:textId="77777777" w:rsidR="00BB435E" w:rsidRPr="00BB4CBC" w:rsidRDefault="00BB435E" w:rsidP="00F607EA">
      <w:pPr>
        <w:pStyle w:val="BodyText"/>
        <w:spacing w:line="360" w:lineRule="auto"/>
        <w:rPr>
          <w:rFonts w:ascii="Helvetica LT Std" w:hAnsi="Helvetica LT Std" w:cs="Calibri"/>
          <w:sz w:val="22"/>
        </w:rPr>
      </w:pPr>
    </w:p>
    <w:p w14:paraId="26BFF726" w14:textId="77777777"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 xml:space="preserve">De acuerdo con las características de las edificaciones y de la solicitud del cliente, se llevó a cabo la colocación de detectores Radtrak³ de larga exposición durante 3 meses, conforme al artículo </w:t>
      </w:r>
      <w:proofErr w:type="spellStart"/>
      <w:r>
        <w:rPr>
          <w:rFonts w:ascii="Helvetica LT Std" w:hAnsi="Helvetica LT Std" w:cs="Calibri"/>
          <w:sz w:val="22"/>
        </w:rPr>
        <w:t>cuarto.e</w:t>
      </w:r>
      <w:proofErr w:type="spellEnd"/>
      <w:r>
        <w:rPr>
          <w:rFonts w:ascii="Helvetica LT Std" w:hAnsi="Helvetica LT Std" w:cs="Calibri"/>
          <w:sz w:val="22"/>
        </w:rPr>
        <w:t>) de la Instrucción IS-47 del Consejo de Seguridad Nuclear (periodo mínimo de tres meses comprendido entre el 1 de octubre y el 31 de mayo) y al Real Decreto 1029/2022 (artículos 75.1 y 76.2), que requieren la medición de la concentración de radón en aire en todas las zonas en las que los trabajadores deban permanecer o a las que puedan acceder por razón de su trabajo en plantas bajas y plantas bajo rasante de los municipios de actuación prioritaria.</w:t>
      </w:r>
    </w:p>
    <w:p w14:paraId="2D7941B3" w14:textId="77777777" w:rsidR="00BB435E" w:rsidRPr="00BB4CBC" w:rsidRDefault="00BB435E" w:rsidP="00F607EA">
      <w:pPr>
        <w:pStyle w:val="BodyText"/>
        <w:spacing w:line="360" w:lineRule="auto"/>
        <w:rPr>
          <w:rFonts w:ascii="Helvetica LT Std" w:hAnsi="Helvetica LT Std" w:cs="Calibri"/>
          <w:sz w:val="22"/>
        </w:rPr>
      </w:pPr>
    </w:p>
    <w:bookmarkEnd w:id="1"/>
    <w:p w14:paraId="1FDA4227" w14:textId="77777777"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132888A5" w14:textId="77777777" w:rsidR="008662CE" w:rsidRPr="00BB4CBC" w:rsidRDefault="008662CE" w:rsidP="00F607EA">
      <w:pPr>
        <w:pStyle w:val="BodyText"/>
        <w:spacing w:line="360" w:lineRule="auto"/>
        <w:rPr>
          <w:rFonts w:ascii="Helvetica LT Std" w:hAnsi="Helvetica LT Std" w:cs="Calibri"/>
          <w:sz w:val="22"/>
        </w:rPr>
      </w:pPr>
    </w:p>
    <w:p w14:paraId="150ED771" w14:textId="77777777"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En cuanto a la colocación de detectores, se siguieron las directrices del artículo quinto.3 de la Instrucción IS-47 del CSN: los detectores se colocaron a una altura de entre 50 cm y 2 m sobre el nivel del suelo, a más de 30 cm de las paredes, fuera de armarios y alejados de corrientes de aire (ventiladores, ventanas) y de fuentes de calor, consignándose la fecha y hora de colocación y retirada de cada detector. Durante la exposición se mantuvieron los hábitos de ocupación ordinarios del centro de trabajo (artículo quinto.4).</w:t>
      </w:r>
    </w:p>
    <w:p w14:paraId="756BD80C" w14:textId="77777777" w:rsidR="00BB435E" w:rsidRPr="00BB4CBC" w:rsidRDefault="00BB435E" w:rsidP="00F607EA">
      <w:pPr>
        <w:pStyle w:val="BodyText"/>
        <w:spacing w:line="360" w:lineRule="auto"/>
        <w:rPr>
          <w:rFonts w:ascii="Helvetica LT Std" w:hAnsi="Helvetica LT Std" w:cs="Calibri"/>
          <w:sz w:val="22"/>
        </w:rPr>
      </w:pPr>
    </w:p>
    <w:p w14:paraId="454C47EF"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A70742B" w14:textId="77777777" w:rsidR="00BB435E" w:rsidRPr="00BB4CBC" w:rsidRDefault="00BB435E" w:rsidP="00F607EA">
      <w:pPr>
        <w:pStyle w:val="BodyText"/>
        <w:spacing w:line="360" w:lineRule="auto"/>
        <w:rPr>
          <w:rFonts w:ascii="Helvetica LT Std" w:hAnsi="Helvetica LT Std" w:cs="Calibri"/>
          <w:sz w:val="22"/>
        </w:rPr>
      </w:pPr>
    </w:p>
    <w:p w14:paraId="67254F04" w14:textId="7DCB479C"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t xml:space="preserve">Los medidores se colocaron el {FECHA_COLOCACION} y se retiraron el {FECHA_RETIRADA}. </w:t>
      </w:r>
    </w:p>
    <w:p w14:paraId="1D552B8A" w14:textId="77777777" w:rsidR="00173EAE" w:rsidRDefault="00173EAE" w:rsidP="00F607EA">
      <w:pPr>
        <w:pStyle w:val="BodyText"/>
        <w:spacing w:line="360" w:lineRule="auto"/>
        <w:rPr>
          <w:rFonts w:ascii="Helvetica LT Std" w:hAnsi="Helvetica LT Std" w:cs="Arial"/>
        </w:rPr>
      </w:pPr>
    </w:p>
    <w:p w14:paraId="677413DD" w14:textId="77777777" w:rsidR="00D96305" w:rsidRPr="006105D3" w:rsidRDefault="00B91DE5" w:rsidP="006105D3">
      <w:pPr>
        <w:pStyle w:val="BodyText"/>
        <w:spacing w:line="360" w:lineRule="auto"/>
        <w:rPr>
          <w:rFonts w:ascii="Helvetica LT Std" w:hAnsi="Helvetica LT Std" w:cs="Arial"/>
          <w:b/>
          <w:bCs/>
        </w:rPr>
      </w:pPr>
      <w:r>
        <w:rPr>
          <w:rFonts w:ascii="Helvetica LT Std" w:hAnsi="Helvetica LT Std" w:cs="Arial"/>
          <w:b/>
          <w:bCs/>
        </w:rPr>
        <w:t>3. RESULTADOS DEL ENSAYO</w:t>
      </w:r>
    </w:p>
    <w:p w14:paraId="6B2AF11B" w14:textId="77777777" w:rsidR="006105D3" w:rsidRDefault="006105D3" w:rsidP="00F607EA">
      <w:pPr>
        <w:spacing w:line="360" w:lineRule="auto"/>
        <w:rPr>
          <w:rFonts w:ascii="Helvetica LT Std" w:hAnsi="Helvetica LT Std" w:cs="Calibri"/>
          <w:sz w:val="22"/>
        </w:rPr>
      </w:pPr>
    </w:p>
    <w:p w14:paraId="69708142" w14:textId="77777777"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 xml:space="preserve">Los resultados de los análisis de laboratorio proporcionados por </w:t>
      </w:r>
      <w:proofErr w:type="spellStart"/>
      <w:r>
        <w:rPr>
          <w:rFonts w:ascii="Helvetica LT Std" w:hAnsi="Helvetica LT Std" w:cs="Calibri"/>
          <w:sz w:val="22"/>
        </w:rPr>
        <w:t>Radonova</w:t>
      </w:r>
      <w:proofErr w:type="spellEnd"/>
      <w:r>
        <w:rPr>
          <w:rFonts w:ascii="Helvetica LT Std" w:hAnsi="Helvetica LT Std" w:cs="Calibri"/>
          <w:sz w:val="22"/>
        </w:rPr>
        <w:t xml:space="preserve"> </w:t>
      </w:r>
      <w:proofErr w:type="spellStart"/>
      <w:r>
        <w:rPr>
          <w:rFonts w:ascii="Helvetica LT Std" w:hAnsi="Helvetica LT Std" w:cs="Calibri"/>
          <w:sz w:val="22"/>
        </w:rPr>
        <w:t>Laboratories</w:t>
      </w:r>
      <w:proofErr w:type="spellEnd"/>
      <w:r>
        <w:rPr>
          <w:rFonts w:ascii="Helvetica LT Std" w:hAnsi="Helvetica LT Std" w:cs="Calibri"/>
          <w:sz w:val="22"/>
        </w:rPr>
        <w:t xml:space="preserve"> AB fueron los siguientes:</w:t>
      </w:r>
    </w:p>
    <w:p w14:paraId="1C1BA2C3" w14:textId="77777777" w:rsidR="00621F26" w:rsidRPr="00BB4CBC" w:rsidRDefault="00621F26" w:rsidP="00F607EA">
      <w:pPr>
        <w:spacing w:line="360" w:lineRule="auto"/>
        <w:rPr>
          <w:rFonts w:ascii="Helvetica LT Std" w:hAnsi="Helvetica LT Std"/>
          <w:lang w:val="es-ES_tradnl"/>
        </w:rPr>
      </w:pP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2268"/>
        <w:gridCol w:w="2126"/>
        <w:gridCol w:w="2268"/>
      </w:tblGrid>
      <w:tr w:rsidR="00865ADD" w:rsidRPr="00BB4CBC" w14:paraId="5C47E277" w14:textId="77777777" w:rsidTr="005215E4">
        <w:tc>
          <w:tcPr>
            <w:tcW w:w="1980" w:type="dxa"/>
            <w:vAlign w:val="center"/>
          </w:tcPr>
          <w:p w14:paraId="6B3FC7E3" w14:textId="77777777"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2268" w:type="dxa"/>
            <w:vAlign w:val="center"/>
          </w:tcPr>
          <w:p w14:paraId="08E44063" w14:textId="77777777"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2126" w:type="dxa"/>
            <w:vAlign w:val="center"/>
          </w:tcPr>
          <w:p w14:paraId="3786BF40" w14:textId="77777777"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2268" w:type="dxa"/>
            <w:vAlign w:val="center"/>
          </w:tcPr>
          <w:p w14:paraId="4763D750" w14:textId="77777777"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7154B521" w14:textId="77777777" w:rsidTr="005215E4">
        <w:trPr>
          <w:trHeight w:val="589"/>
        </w:trPr>
        <w:tc>
          <w:tcPr>
            <w:tcW w:w="1980" w:type="dxa"/>
            <w:vAlign w:val="center"/>
          </w:tcPr>
          <w:p w14:paraId="4CC7D73B" w14:textId="7777777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w:t>
            </w:r>
            <w:proofErr w:type="gramStart"/>
            <w:r>
              <w:rPr>
                <w:rFonts w:ascii="Helvetica LT Std" w:hAnsi="Helvetica LT Std"/>
                <w:i/>
                <w:iCs/>
                <w:sz w:val="18"/>
                <w:szCs w:val="18"/>
              </w:rPr>
              <w:t>DETECTORES}{</w:t>
            </w:r>
            <w:proofErr w:type="gramEnd"/>
            <w:r>
              <w:rPr>
                <w:rFonts w:ascii="Helvetica LT Std" w:hAnsi="Helvetica LT Std"/>
                <w:i/>
                <w:iCs/>
                <w:sz w:val="18"/>
                <w:szCs w:val="18"/>
              </w:rPr>
              <w:t>detector_numero} [Radtrak³®]</w:t>
            </w:r>
          </w:p>
        </w:tc>
        <w:tc>
          <w:tcPr>
            <w:tcW w:w="2268" w:type="dxa"/>
            <w:vAlign w:val="center"/>
          </w:tcPr>
          <w:p w14:paraId="2998D0C5"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detector_periodo</w:t>
            </w:r>
            <w:proofErr w:type="spellEnd"/>
            <w:r>
              <w:rPr>
                <w:rFonts w:ascii="Helvetica LT Std" w:hAnsi="Helvetica LT Std" w:cs="Calibri"/>
                <w:color w:val="3B3838"/>
                <w:sz w:val="18"/>
                <w:szCs w:val="18"/>
                <w:lang w:val="es-ES_tradnl"/>
              </w:rPr>
              <w:t>}</w:t>
            </w:r>
          </w:p>
        </w:tc>
        <w:tc>
          <w:tcPr>
            <w:tcW w:w="2126" w:type="dxa"/>
            <w:vAlign w:val="center"/>
          </w:tcPr>
          <w:p w14:paraId="668DE357" w14:textId="77777777"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detector_ubicacion</w:t>
            </w:r>
            <w:proofErr w:type="spellEnd"/>
            <w:r>
              <w:rPr>
                <w:rFonts w:ascii="Helvetica LT Std" w:hAnsi="Helvetica LT Std" w:cs="Calibri"/>
                <w:color w:val="3B3838"/>
                <w:sz w:val="18"/>
                <w:szCs w:val="18"/>
                <w:lang w:val="es-ES_tradnl"/>
              </w:rPr>
              <w:t>}</w:t>
            </w:r>
          </w:p>
        </w:tc>
        <w:tc>
          <w:tcPr>
            <w:tcW w:w="2268" w:type="dxa"/>
            <w:vAlign w:val="center"/>
          </w:tcPr>
          <w:p w14:paraId="6C576F46" w14:textId="77777777"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w:t>
            </w:r>
            <w:proofErr w:type="spellStart"/>
            <w:r>
              <w:rPr>
                <w:rFonts w:ascii="Helvetica LT Std" w:hAnsi="Helvetica LT Std"/>
                <w:sz w:val="18"/>
                <w:szCs w:val="18"/>
              </w:rPr>
              <w:t>detector_</w:t>
            </w:r>
            <w:proofErr w:type="gramStart"/>
            <w:r>
              <w:rPr>
                <w:rFonts w:ascii="Helvetica LT Std" w:hAnsi="Helvetica LT Std"/>
                <w:sz w:val="18"/>
                <w:szCs w:val="18"/>
              </w:rPr>
              <w:t>resultado</w:t>
            </w:r>
            <w:proofErr w:type="spellEnd"/>
            <w:r>
              <w:rPr>
                <w:rFonts w:ascii="Helvetica LT Std" w:hAnsi="Helvetica LT Std"/>
                <w:sz w:val="18"/>
                <w:szCs w:val="18"/>
              </w:rPr>
              <w:t>}{</w:t>
            </w:r>
            <w:proofErr w:type="gramEnd"/>
            <w:r>
              <w:rPr>
                <w:rFonts w:ascii="Helvetica LT Std" w:hAnsi="Helvetica LT Std"/>
                <w:sz w:val="18"/>
                <w:szCs w:val="18"/>
              </w:rPr>
              <w:t>/DETECTORES}</w:t>
            </w:r>
          </w:p>
        </w:tc>
      </w:tr>
    </w:tbl>
    <w:p w14:paraId="59B5B7FC" w14:textId="77777777" w:rsidR="0066391E" w:rsidRDefault="0066391E" w:rsidP="00F607EA">
      <w:pPr>
        <w:pStyle w:val="Heading1"/>
        <w:spacing w:line="360" w:lineRule="auto"/>
        <w:rPr>
          <w:rFonts w:ascii="Helvetica LT Std" w:hAnsi="Helvetica LT Std" w:cs="Arial"/>
        </w:rPr>
      </w:pPr>
    </w:p>
    <w:p w14:paraId="75E3269A" w14:textId="77777777" w:rsidR="005215E4" w:rsidRDefault="005215E4">
      <w:pPr>
        <w:jc w:val="left"/>
        <w:rPr>
          <w:rFonts w:ascii="Helvetica LT Std" w:hAnsi="Helvetica LT Std" w:cs="Arial"/>
          <w:b/>
          <w:bCs/>
          <w:lang w:val="es-ES_tradnl"/>
        </w:rPr>
      </w:pPr>
      <w:r>
        <w:rPr>
          <w:rFonts w:ascii="Helvetica LT Std" w:hAnsi="Helvetica LT Std" w:cs="Arial"/>
        </w:rPr>
        <w:br w:type="page"/>
      </w:r>
    </w:p>
    <w:p w14:paraId="2B602846" w14:textId="4C65BBD1"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22F5C439" w14:textId="77777777" w:rsidR="00C22D20" w:rsidRPr="00BB4CBC" w:rsidRDefault="00C22D20" w:rsidP="00F607EA">
      <w:pPr>
        <w:spacing w:line="360" w:lineRule="auto"/>
        <w:rPr>
          <w:rFonts w:ascii="Helvetica LT Std" w:hAnsi="Helvetica LT Std"/>
          <w:lang w:val="es-ES_tradnl"/>
        </w:rPr>
      </w:pPr>
    </w:p>
    <w:p w14:paraId="49757A6D" w14:textId="77777777"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(RPSI), que establece para el radón un nivel de referencia de 300 Bq/m³ —promedio anual de concentración en aire (artículo 72.a), no un límite infranqueable— y la obligación de realizar mediciones específicas en los puestos de trabajo (artículo 75.1). Organismos como la Organización Mundial de la Salud (OMS) recomiendan sin embargo un nivel de referencia más estricto, de 100 Bq/m³.</w:t>
      </w:r>
    </w:p>
    <w:p w14:paraId="3AE67885" w14:textId="77777777" w:rsidR="00A6497E" w:rsidRPr="00BB4CBC" w:rsidRDefault="00A6497E" w:rsidP="00F607EA">
      <w:pPr>
        <w:pStyle w:val="BodyText"/>
        <w:spacing w:line="360" w:lineRule="auto"/>
        <w:rPr>
          <w:rFonts w:ascii="Helvetica LT Std" w:hAnsi="Helvetica LT Std" w:cs="Calibri"/>
          <w:sz w:val="22"/>
        </w:rPr>
      </w:pPr>
    </w:p>
    <w:p w14:paraId="36AA66C0" w14:textId="77777777"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La Instrucción IS-47, de 9 de abril de 2025, del CSN (BOE de 1 de mayo de 2025) aprueba el listado de términos municipales de actuación prioritaria contra el radón y establece las directrices para las mediciones de este gas radiactivo natural en el interior de los centros de trabajo. El municipio de {MUNICIPIO} está catalogado como término municipal de actuación prioritaria («Zona II» del apéndice B de la sección HS6 del CTE).</w:t>
      </w:r>
    </w:p>
    <w:p w14:paraId="4234A4D3" w14:textId="77777777" w:rsidR="005A512A" w:rsidRDefault="005A512A" w:rsidP="00F86FAE">
      <w:pPr>
        <w:pStyle w:val="BodyText"/>
        <w:spacing w:line="360" w:lineRule="auto"/>
        <w:rPr>
          <w:rFonts w:ascii="Helvetica LT Std" w:hAnsi="Helvetica LT Std" w:cs="Calibri"/>
          <w:sz w:val="22"/>
        </w:rPr>
      </w:pPr>
    </w:p>
    <w:p w14:paraId="26690907" w14:textId="3C268201" w:rsidR="003D08F1" w:rsidRPr="0099492D" w:rsidRDefault="006423A2" w:rsidP="003D08F1">
      <w:pPr>
        <w:pStyle w:val="BodyText"/>
        <w:spacing w:line="360" w:lineRule="auto"/>
        <w:rPr>
          <w:rFonts w:ascii="Helvetica LT Std" w:hAnsi="Helvetica LT Std" w:cs="Calibri"/>
          <w:b/>
          <w:bCs/>
          <w:color w:val="C00000"/>
          <w:sz w:val="22"/>
        </w:rPr>
      </w:pPr>
      <w:r w:rsidRPr="0099492D">
        <w:rPr>
          <w:rFonts w:ascii="Helvetica LT Std" w:hAnsi="Helvetica LT Std" w:cs="Calibri"/>
          <w:b/>
          <w:bCs/>
          <w:color w:val="C00000"/>
          <w:sz w:val="22"/>
        </w:rPr>
        <w:t xml:space="preserve">Se han detectado valores superiores al nivel de referencia de 300 Bq/m³ </w:t>
      </w:r>
      <w:r w:rsidR="003D08F1" w:rsidRPr="0099492D">
        <w:rPr>
          <w:rFonts w:ascii="Helvetica LT Std" w:hAnsi="Helvetica LT Std" w:cs="Calibri"/>
          <w:b/>
          <w:bCs/>
          <w:color w:val="C00000"/>
          <w:sz w:val="22"/>
        </w:rPr>
        <w:t>establecido en el artículo 72.a) del Real Decreto 1029/2022, de 20 de diciembre, aplicable a las mediciones realizadas conforme a la Instrucción IS-47 del CSN</w:t>
      </w:r>
      <w:r w:rsidR="003D08F1" w:rsidRPr="0099492D">
        <w:rPr>
          <w:rFonts w:ascii="Helvetica LT Std" w:hAnsi="Helvetica LT Std" w:cs="Calibri"/>
          <w:b/>
          <w:bCs/>
          <w:color w:val="C00000"/>
          <w:sz w:val="22"/>
        </w:rPr>
        <w:t xml:space="preserve"> </w:t>
      </w:r>
      <w:r w:rsidRPr="0099492D">
        <w:rPr>
          <w:rFonts w:ascii="Helvetica LT Std" w:hAnsi="Helvetica LT Std" w:cs="Calibri"/>
          <w:b/>
          <w:bCs/>
          <w:color w:val="C00000"/>
          <w:sz w:val="22"/>
        </w:rPr>
        <w:t xml:space="preserve">en {UBICACION_CENTRO_CORTO}. </w:t>
      </w:r>
      <w:r w:rsidR="003D08F1" w:rsidRPr="0099492D">
        <w:rPr>
          <w:rFonts w:ascii="Helvetica LT Std" w:hAnsi="Helvetica LT Std" w:cs="Calibri"/>
          <w:b/>
          <w:bCs/>
          <w:color w:val="C00000"/>
          <w:sz w:val="22"/>
        </w:rPr>
        <w:t xml:space="preserve">Estos datos arrojan unos valores medios de {VALOR_PROMEDIO}. </w:t>
      </w:r>
    </w:p>
    <w:p w14:paraId="026E354B" w14:textId="77777777" w:rsidR="003D08F1" w:rsidRDefault="003D08F1" w:rsidP="003D08F1">
      <w:pPr>
        <w:pStyle w:val="BodyText"/>
        <w:spacing w:line="360" w:lineRule="auto"/>
        <w:rPr>
          <w:rFonts w:ascii="Helvetica LT Std" w:hAnsi="Helvetica LT Std" w:cs="Calibri"/>
          <w:sz w:val="22"/>
        </w:rPr>
      </w:pPr>
    </w:p>
    <w:p w14:paraId="4EB0B413" w14:textId="67EABB76" w:rsidR="003D08F1" w:rsidRDefault="003D08F1" w:rsidP="003D08F1">
      <w:pPr>
        <w:pStyle w:val="BodyText"/>
        <w:spacing w:line="360" w:lineRule="auto"/>
        <w:rPr>
          <w:rFonts w:ascii="Helvetica LT Std" w:hAnsi="Helvetica LT Std" w:cs="Calibri"/>
          <w:i/>
          <w:iCs/>
          <w:sz w:val="22"/>
        </w:rPr>
      </w:pPr>
      <w:r>
        <w:rPr>
          <w:rFonts w:ascii="Helvetica LT Std" w:hAnsi="Helvetica LT Std" w:cs="Calibri"/>
          <w:sz w:val="22"/>
        </w:rPr>
        <w:t xml:space="preserve">Para limitar la exposición de los trabajadores a estas zonas, se estará a lo estipulado en </w:t>
      </w:r>
      <w:proofErr w:type="spellStart"/>
      <w:r>
        <w:rPr>
          <w:rFonts w:ascii="Helvetica LT Std" w:hAnsi="Helvetica LT Std" w:cs="Calibri"/>
          <w:sz w:val="22"/>
        </w:rPr>
        <w:t>rl</w:t>
      </w:r>
      <w:proofErr w:type="spellEnd"/>
      <w:r>
        <w:rPr>
          <w:rFonts w:ascii="Helvetica LT Std" w:hAnsi="Helvetica LT Std" w:cs="Calibri"/>
          <w:sz w:val="22"/>
        </w:rPr>
        <w:t xml:space="preserve"> RD 1217/2024 de 3 de diciembre, Titulo IX Capitulo II, Articulo 103 </w:t>
      </w:r>
      <w:r w:rsidRPr="003D08F1">
        <w:rPr>
          <w:rFonts w:ascii="Helvetica LT Std" w:hAnsi="Helvetica LT Std" w:cs="Calibri"/>
          <w:i/>
          <w:iCs/>
          <w:sz w:val="22"/>
        </w:rPr>
        <w:t>Exposición al radón en centros de trabajo</w:t>
      </w:r>
      <w:r>
        <w:rPr>
          <w:rFonts w:ascii="Helvetica LT Std" w:hAnsi="Helvetica LT Std" w:cs="Calibri"/>
          <w:i/>
          <w:iCs/>
          <w:sz w:val="22"/>
        </w:rPr>
        <w:t xml:space="preserve">: </w:t>
      </w:r>
    </w:p>
    <w:p w14:paraId="31E6D34C" w14:textId="77777777" w:rsidR="0099492D" w:rsidRPr="003D08F1" w:rsidRDefault="0099492D" w:rsidP="003D08F1">
      <w:pPr>
        <w:pStyle w:val="BodyText"/>
        <w:spacing w:line="360" w:lineRule="auto"/>
        <w:rPr>
          <w:rFonts w:ascii="Helvetica LT Std" w:hAnsi="Helvetica LT Std" w:cs="Calibri"/>
          <w:i/>
          <w:iCs/>
          <w:sz w:val="22"/>
        </w:rPr>
      </w:pPr>
    </w:p>
    <w:p w14:paraId="7DD4CAB6" w14:textId="77777777" w:rsidR="003D08F1" w:rsidRDefault="003D08F1" w:rsidP="003D08F1">
      <w:pPr>
        <w:pStyle w:val="BodyText"/>
        <w:spacing w:line="360" w:lineRule="auto"/>
        <w:rPr>
          <w:rFonts w:ascii="Helvetica LT Std" w:hAnsi="Helvetica LT Std" w:cs="Calibri"/>
          <w:b/>
          <w:bCs/>
          <w:i/>
          <w:iCs/>
          <w:sz w:val="22"/>
        </w:rPr>
      </w:pPr>
      <w:r w:rsidRPr="0099492D">
        <w:rPr>
          <w:rFonts w:ascii="Helvetica LT Std" w:hAnsi="Helvetica LT Std" w:cs="Calibri"/>
          <w:b/>
          <w:bCs/>
          <w:i/>
          <w:iCs/>
          <w:sz w:val="22"/>
        </w:rPr>
        <w:t>Artículo 103. Declaración y estudios adicionales.</w:t>
      </w:r>
    </w:p>
    <w:p w14:paraId="1714B5FA" w14:textId="77777777" w:rsidR="00CA2A66" w:rsidRPr="0099492D" w:rsidRDefault="00CA2A66" w:rsidP="003D08F1">
      <w:pPr>
        <w:pStyle w:val="BodyText"/>
        <w:spacing w:line="360" w:lineRule="auto"/>
        <w:rPr>
          <w:rFonts w:ascii="Helvetica LT Std" w:hAnsi="Helvetica LT Std" w:cs="Calibri"/>
          <w:b/>
          <w:bCs/>
          <w:i/>
          <w:iCs/>
          <w:sz w:val="22"/>
        </w:rPr>
      </w:pPr>
    </w:p>
    <w:p w14:paraId="6771AD6A" w14:textId="4D78C56A"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 xml:space="preserve">1. </w:t>
      </w:r>
      <w:r w:rsidRPr="00CA2A66">
        <w:rPr>
          <w:rFonts w:ascii="Helvetica LT Std" w:hAnsi="Helvetica LT Std" w:cs="Calibri"/>
          <w:i/>
          <w:iCs/>
          <w:sz w:val="22"/>
        </w:rPr>
        <w:t>Cuando, a partir de las estimaciones del promedio anual de la concentración de radón en aire requeridas por el </w:t>
      </w:r>
      <w:hyperlink r:id="rId9" w:anchor="a7-7" w:tgtFrame="_blank" w:tooltip="Abre nueva ventana" w:history="1">
        <w:r w:rsidRPr="00CA2A66">
          <w:rPr>
            <w:i/>
            <w:iCs/>
          </w:rPr>
          <w:t>artículo 75 del Reglamento sobre protección de la salud contra los riesgos derivados de la exposición a las radiaciones ionizantes, aprobado por Real Decreto 1029/2022, de 20 de diciembre</w:t>
        </w:r>
      </w:hyperlink>
      <w:r w:rsidRPr="00CA2A66">
        <w:rPr>
          <w:rFonts w:ascii="Helvetica LT Std" w:hAnsi="Helvetica LT Std" w:cs="Calibri"/>
          <w:i/>
          <w:iCs/>
          <w:sz w:val="22"/>
        </w:rPr>
        <w:t xml:space="preserve">, o por cualquier otra circunstancia, en un lugar de trabajo se identifique que los trabajadores pueden acceder a zonas donde el promedio </w:t>
      </w:r>
      <w:r w:rsidRPr="00CA2A66">
        <w:rPr>
          <w:rFonts w:ascii="Helvetica LT Std" w:hAnsi="Helvetica LT Std" w:cs="Calibri"/>
          <w:i/>
          <w:iCs/>
          <w:sz w:val="22"/>
        </w:rPr>
        <w:lastRenderedPageBreak/>
        <w:t>anual de la concentración de radón en aire se</w:t>
      </w:r>
      <w:r w:rsidR="0099492D" w:rsidRPr="00CA2A66">
        <w:rPr>
          <w:rFonts w:ascii="Helvetica LT Std" w:hAnsi="Helvetica LT Std" w:cs="Calibri"/>
          <w:i/>
          <w:iCs/>
          <w:sz w:val="22"/>
        </w:rPr>
        <w:t>a superior a</w:t>
      </w:r>
      <w:r w:rsidRPr="00CA2A66">
        <w:rPr>
          <w:rFonts w:ascii="Helvetica LT Std" w:hAnsi="Helvetica LT Std" w:cs="Calibri"/>
          <w:i/>
          <w:iCs/>
          <w:sz w:val="22"/>
        </w:rPr>
        <w:t xml:space="preserve"> </w:t>
      </w:r>
      <w:r w:rsidRPr="00CA2A66">
        <w:rPr>
          <w:rFonts w:ascii="Helvetica LT Std" w:hAnsi="Helvetica LT Std" w:cs="Calibri"/>
          <w:i/>
          <w:iCs/>
          <w:sz w:val="22"/>
        </w:rPr>
        <w:t xml:space="preserve"> 300 Bq/m</w:t>
      </w:r>
      <w:r w:rsidRPr="00CA2A66">
        <w:rPr>
          <w:rFonts w:ascii="Helvetica LT Std" w:hAnsi="Helvetica LT Std" w:cs="Calibri"/>
          <w:i/>
          <w:iCs/>
          <w:sz w:val="22"/>
          <w:vertAlign w:val="superscript"/>
        </w:rPr>
        <w:t>3</w:t>
      </w:r>
      <w:r w:rsidRPr="00CA2A66">
        <w:rPr>
          <w:rFonts w:ascii="Helvetica LT Std" w:hAnsi="Helvetica LT Std" w:cs="Calibri"/>
          <w:i/>
          <w:iCs/>
          <w:sz w:val="22"/>
          <w:vertAlign w:val="superscript"/>
        </w:rPr>
        <w:t xml:space="preserve">  </w:t>
      </w:r>
      <w:r w:rsidRPr="00CA2A66">
        <w:rPr>
          <w:rFonts w:ascii="Helvetica LT Std" w:hAnsi="Helvetica LT Std" w:cs="Calibri"/>
          <w:i/>
          <w:iCs/>
          <w:sz w:val="22"/>
        </w:rPr>
        <w:t>, los titulares de las actividades laborales que allí se desarrollen deberán:</w:t>
      </w:r>
    </w:p>
    <w:p w14:paraId="63B84589" w14:textId="77777777" w:rsidR="00CA2A66" w:rsidRPr="00CA2A66" w:rsidRDefault="00CA2A66" w:rsidP="003D08F1">
      <w:pPr>
        <w:pStyle w:val="BodyText"/>
        <w:spacing w:line="360" w:lineRule="auto"/>
        <w:rPr>
          <w:rFonts w:ascii="Helvetica LT Std" w:hAnsi="Helvetica LT Std" w:cs="Calibri"/>
          <w:i/>
          <w:iCs/>
          <w:sz w:val="22"/>
        </w:rPr>
      </w:pPr>
    </w:p>
    <w:p w14:paraId="0F169ABF" w14:textId="77777777" w:rsidR="003D08F1" w:rsidRPr="0099492D"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a) Presentar una declaración sobre esta situación ante el órgano competente de la comunidad autónoma en cuyo territorio se ubique el centro de trabajo, así como presentar las comunicaciones que se especifican en el artículo 105. Este órgano competente será determinado por cada comunidad autónoma.</w:t>
      </w:r>
    </w:p>
    <w:p w14:paraId="713B3FB1"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Las instalaciones nucleares e instalaciones radiactivas que dispongan de Servicio de Protección Radiológica o tengan contratada una Unidad Técnica de Protección Radiológica no tendrán que presentar esta declaración. En dichas instalaciones, el control de la exposición al radón se llevará a cabo por el Servicio de Protección Radiológica o la Unidad Técnica de Protección Radiológica mencionados.</w:t>
      </w:r>
    </w:p>
    <w:p w14:paraId="46EC82A8" w14:textId="77777777" w:rsidR="00CA2A66" w:rsidRPr="0099492D" w:rsidRDefault="00CA2A66" w:rsidP="003D08F1">
      <w:pPr>
        <w:pStyle w:val="BodyText"/>
        <w:spacing w:line="360" w:lineRule="auto"/>
        <w:rPr>
          <w:rFonts w:ascii="Helvetica LT Std" w:hAnsi="Helvetica LT Std" w:cs="Calibri"/>
          <w:i/>
          <w:iCs/>
          <w:sz w:val="22"/>
        </w:rPr>
      </w:pPr>
    </w:p>
    <w:p w14:paraId="09074CE2"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b) Llevar a cabo mediciones de radón en las zonas afectadas, con la periodicidad que el Consejo de Seguridad Nuclear establezca mediante instrucción.</w:t>
      </w:r>
    </w:p>
    <w:p w14:paraId="66FBB7C4" w14:textId="77777777" w:rsidR="00CA2A66" w:rsidRPr="0099492D" w:rsidRDefault="00CA2A66" w:rsidP="003D08F1">
      <w:pPr>
        <w:pStyle w:val="BodyText"/>
        <w:spacing w:line="360" w:lineRule="auto"/>
        <w:rPr>
          <w:rFonts w:ascii="Helvetica LT Std" w:hAnsi="Helvetica LT Std" w:cs="Calibri"/>
          <w:i/>
          <w:iCs/>
          <w:sz w:val="22"/>
        </w:rPr>
      </w:pPr>
    </w:p>
    <w:p w14:paraId="781D3D02"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c) Mantener informados a los trabajadores o a sus representantes, tanto del resultado de la evaluación de las mediciones, como de las actuaciones de mitigación o protección requeridas, en su caso.</w:t>
      </w:r>
    </w:p>
    <w:p w14:paraId="7DCE9FA8" w14:textId="77777777" w:rsidR="00CA2A66" w:rsidRPr="0099492D" w:rsidRDefault="00CA2A66" w:rsidP="003D08F1">
      <w:pPr>
        <w:pStyle w:val="BodyText"/>
        <w:spacing w:line="360" w:lineRule="auto"/>
        <w:rPr>
          <w:rFonts w:ascii="Helvetica LT Std" w:hAnsi="Helvetica LT Std" w:cs="Calibri"/>
          <w:i/>
          <w:iCs/>
          <w:sz w:val="22"/>
        </w:rPr>
      </w:pPr>
    </w:p>
    <w:p w14:paraId="14BA7DCD" w14:textId="77777777" w:rsidR="003D08F1" w:rsidRDefault="003D08F1" w:rsidP="003D08F1">
      <w:pPr>
        <w:pStyle w:val="BodyText"/>
        <w:spacing w:line="360" w:lineRule="auto"/>
        <w:rPr>
          <w:rFonts w:ascii="Helvetica LT Std" w:hAnsi="Helvetica LT Std" w:cs="Calibri"/>
          <w:i/>
          <w:iCs/>
          <w:sz w:val="22"/>
        </w:rPr>
      </w:pPr>
      <w:r w:rsidRPr="0099492D">
        <w:rPr>
          <w:rFonts w:ascii="Helvetica LT Std" w:hAnsi="Helvetica LT Std" w:cs="Calibri"/>
          <w:i/>
          <w:iCs/>
          <w:sz w:val="22"/>
        </w:rPr>
        <w:t>2. Cuando en el lugar de trabajo ninguna zona de permanencia de trabajadores presente un promedio anual de concentración de radón superior a 1.000 Bq/m</w:t>
      </w:r>
      <w:r w:rsidRPr="0099492D">
        <w:rPr>
          <w:rFonts w:ascii="Helvetica LT Std" w:hAnsi="Helvetica LT Std" w:cs="Calibri"/>
          <w:i/>
          <w:iCs/>
          <w:sz w:val="22"/>
          <w:vertAlign w:val="superscript"/>
        </w:rPr>
        <w:t>3</w:t>
      </w:r>
      <w:r w:rsidRPr="0099492D">
        <w:rPr>
          <w:rFonts w:ascii="Helvetica LT Std" w:hAnsi="Helvetica LT Std" w:cs="Calibri"/>
          <w:i/>
          <w:iCs/>
          <w:sz w:val="22"/>
        </w:rPr>
        <w:t>, la declaración deberá hacerse en un plazo de un año natural a partir de la fecha que conste en el informe de resultados de las mediciones. Si durante este plazo se llevan a cabo acciones correctoras de tipo constructivo o mecánico destinadas a reducir la concentración de radón, el plazo de declaración se ampliará un año adicional a partir de la fecha de finalización de dichas acciones. En caso de que las medidas posteriores a las acciones correctoras no superen 300 Bq/m</w:t>
      </w:r>
      <w:r w:rsidRPr="0099492D">
        <w:rPr>
          <w:rFonts w:ascii="Helvetica LT Std" w:hAnsi="Helvetica LT Std" w:cs="Calibri"/>
          <w:i/>
          <w:iCs/>
          <w:sz w:val="22"/>
          <w:vertAlign w:val="superscript"/>
        </w:rPr>
        <w:t>3</w:t>
      </w:r>
      <w:r w:rsidRPr="0099492D">
        <w:rPr>
          <w:rFonts w:ascii="Helvetica LT Std" w:hAnsi="Helvetica LT Std" w:cs="Calibri"/>
          <w:i/>
          <w:iCs/>
          <w:sz w:val="22"/>
        </w:rPr>
        <w:t>, el titular de la actividad laboral quedará exento de efectuar la declaración.</w:t>
      </w:r>
    </w:p>
    <w:p w14:paraId="3F18480C" w14:textId="77777777" w:rsidR="00CA2A66" w:rsidRDefault="00CA2A66" w:rsidP="003D08F1">
      <w:pPr>
        <w:pStyle w:val="BodyText"/>
        <w:spacing w:line="360" w:lineRule="auto"/>
        <w:rPr>
          <w:rFonts w:ascii="Helvetica LT Std" w:hAnsi="Helvetica LT Std" w:cs="Calibri"/>
          <w:i/>
          <w:iCs/>
          <w:sz w:val="22"/>
        </w:rPr>
      </w:pPr>
    </w:p>
    <w:p w14:paraId="73B318EC" w14:textId="77777777" w:rsidR="0099492D" w:rsidRPr="0099492D" w:rsidRDefault="0099492D" w:rsidP="003D08F1">
      <w:pPr>
        <w:pStyle w:val="BodyText"/>
        <w:spacing w:line="360" w:lineRule="auto"/>
        <w:rPr>
          <w:rFonts w:ascii="Helvetica LT Std" w:hAnsi="Helvetica LT Std" w:cs="Calibri"/>
          <w:i/>
          <w:iCs/>
          <w:sz w:val="22"/>
        </w:rPr>
      </w:pPr>
    </w:p>
    <w:p w14:paraId="0CD3D81E" w14:textId="77777777" w:rsidR="006423A2" w:rsidRDefault="006423A2">
      <w:pPr>
        <w:pStyle w:val="BodyText"/>
        <w:spacing w:line="360" w:lineRule="auto"/>
        <w:rPr>
          <w:rFonts w:ascii="Helvetica LT Std" w:hAnsi="Helvetica LT Std" w:cs="Calibri"/>
          <w:sz w:val="22"/>
        </w:rPr>
      </w:pPr>
    </w:p>
    <w:p w14:paraId="362CDBA9" w14:textId="77777777" w:rsidR="0072409B" w:rsidRDefault="001B5D1A">
      <w:pPr>
        <w:pStyle w:val="Heading1"/>
        <w:spacing w:line="360" w:lineRule="auto"/>
        <w:rPr>
          <w:rFonts w:ascii="Helvetica LT Std" w:hAnsi="Helvetica LT Std" w:cs="Arial"/>
        </w:rPr>
      </w:pPr>
      <w:r>
        <w:rPr>
          <w:rFonts w:ascii="Helvetica LT Std" w:hAnsi="Helvetica LT Std" w:cs="Arial"/>
        </w:rPr>
        <w:lastRenderedPageBreak/>
        <w:t>5. PLAN DE ACTUACIÓN ANTE LA SUPERACIÓN DEL NIVEL DE REFERENCIA</w:t>
      </w:r>
    </w:p>
    <w:p w14:paraId="71F3BBEE" w14:textId="77777777" w:rsidR="0072409B" w:rsidRDefault="0072409B">
      <w:pPr>
        <w:pStyle w:val="BodyText"/>
        <w:spacing w:line="360" w:lineRule="auto"/>
        <w:rPr>
          <w:rFonts w:ascii="Helvetica LT Std" w:hAnsi="Helvetica LT Std" w:cs="Calibri"/>
          <w:sz w:val="22"/>
        </w:rPr>
      </w:pPr>
    </w:p>
    <w:p w14:paraId="23D5FC6C"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 superación del nivel de referencia no implica una prohibición de uso del centro de trabajo, pero sí activa la obligación legal de actuar para reducir las concentraciones de radón y/o la exposición de las personas trabajadoras, conforme al procedimiento que se describe en los apartados siguientes.</w:t>
      </w:r>
    </w:p>
    <w:p w14:paraId="4BB08749" w14:textId="77777777" w:rsidR="00CA2A66" w:rsidRDefault="00CA2A66">
      <w:pPr>
        <w:pStyle w:val="BodyText"/>
        <w:spacing w:line="360" w:lineRule="auto"/>
        <w:rPr>
          <w:rFonts w:ascii="Helvetica LT Std" w:hAnsi="Helvetica LT Std" w:cs="Calibri"/>
          <w:sz w:val="22"/>
        </w:rPr>
      </w:pPr>
    </w:p>
    <w:p w14:paraId="046A297E" w14:textId="2E7AF98D"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5.</w:t>
      </w:r>
      <w:r w:rsidR="0099492D">
        <w:rPr>
          <w:rFonts w:ascii="Helvetica LT Std" w:hAnsi="Helvetica LT Std" w:cs="Calibri"/>
          <w:b/>
          <w:bCs/>
          <w:sz w:val="22"/>
        </w:rPr>
        <w:t>1.</w:t>
      </w:r>
      <w:r>
        <w:rPr>
          <w:rFonts w:ascii="Helvetica LT Std" w:hAnsi="Helvetica LT Std" w:cs="Calibri"/>
          <w:b/>
          <w:bCs/>
          <w:sz w:val="22"/>
        </w:rPr>
        <w:t xml:space="preserve"> Fases de actuación</w:t>
      </w:r>
    </w:p>
    <w:p w14:paraId="7476024C" w14:textId="77777777" w:rsidR="00CA2A66" w:rsidRDefault="00CA2A66">
      <w:pPr>
        <w:pStyle w:val="BodyText"/>
        <w:spacing w:line="360" w:lineRule="auto"/>
        <w:rPr>
          <w:rFonts w:ascii="Helvetica LT Std" w:hAnsi="Helvetica LT Std" w:cs="Calibri"/>
          <w:b/>
          <w:bCs/>
          <w:sz w:val="22"/>
        </w:rPr>
      </w:pPr>
    </w:p>
    <w:p w14:paraId="77C66EA2"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1. Diagnóstico de las vías de entrada: </w:t>
      </w:r>
      <w:r>
        <w:rPr>
          <w:rFonts w:ascii="Helvetica LT Std" w:hAnsi="Helvetica LT Std" w:cs="Calibri"/>
          <w:sz w:val="22"/>
        </w:rPr>
        <w:t>inspección técnica de las zonas afectadas para identificar las vías de entrada del gas (grietas y fisuras en soleras y muros en contacto con el terreno, juntas constructivas, encuentros suelo-pared, pasos de instalaciones, arquetas y canalizaciones) y los factores que favorecen su acumulación (régimen de ventilación, depresiones generadas por equipos de climatización o extracción). Este diagnóstico puede apoyarse en mediciones de corta duración con monitores en continuo para localizar focos y caracterizar patrones temporales.</w:t>
      </w:r>
    </w:p>
    <w:p w14:paraId="51C27050" w14:textId="77777777" w:rsidR="00873094" w:rsidRDefault="00873094" w:rsidP="00873094">
      <w:pPr>
        <w:pStyle w:val="ListParagraph"/>
        <w:spacing w:line="360" w:lineRule="auto"/>
        <w:rPr>
          <w:rFonts w:ascii="Helvetica LT Std" w:hAnsi="Helvetica LT Std" w:cs="Calibri"/>
          <w:sz w:val="22"/>
        </w:rPr>
      </w:pPr>
    </w:p>
    <w:p w14:paraId="128F2EF8"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2. Implantación de medidas correctoras: </w:t>
      </w:r>
      <w:r>
        <w:rPr>
          <w:rFonts w:ascii="Helvetica LT Std" w:hAnsi="Helvetica LT Std" w:cs="Calibri"/>
          <w:sz w:val="22"/>
        </w:rPr>
        <w:t>selección y ejecución de las medidas de remediación descritas en el apartado 6, comenzando, conforme al principio de optimización, por las de menor coste y complejidad (sellado de vías de entrada, mejora de la ventilación) y escalando a soluciones de mayor eficacia (despresurización del terreno, barreras de protección) si resultara necesario. Mientras se ejecutan, pueden adoptarse medidas administrativas transitorias de reducción de la exposición (apartado 6.3).</w:t>
      </w:r>
    </w:p>
    <w:p w14:paraId="2295E9A7" w14:textId="77777777" w:rsidR="00873094" w:rsidRPr="00873094" w:rsidRDefault="00873094" w:rsidP="00873094">
      <w:pPr>
        <w:pStyle w:val="ListParagraph"/>
        <w:rPr>
          <w:rFonts w:ascii="Helvetica LT Std" w:hAnsi="Helvetica LT Std" w:cs="Calibri"/>
          <w:sz w:val="22"/>
        </w:rPr>
      </w:pPr>
    </w:p>
    <w:p w14:paraId="1A09AC26"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3. Medición de comprobación: </w:t>
      </w:r>
      <w:r>
        <w:rPr>
          <w:rFonts w:ascii="Helvetica LT Std" w:hAnsi="Helvetica LT Std" w:cs="Calibri"/>
          <w:sz w:val="22"/>
        </w:rPr>
        <w:t xml:space="preserve">una vez implantadas las medidas, revaluación del promedio anual de concentración de radón en las zonas afectadas conforme a la Instrucción IS-47 (artículos cuarto y quinto): detectores suministrados y analizados por un laboratorio acreditado según la norma UNE-EN ISO/IEC 17025, con un periodo de exposición mínimo de tres meses —no necesariamente consecutivos— comprendido entre el 1 de octubre y el 31 de mayo (o a lo largo de un año natural, en periodos de duración máxima trimestral), </w:t>
      </w:r>
      <w:r>
        <w:rPr>
          <w:rFonts w:ascii="Helvetica LT Std" w:hAnsi="Helvetica LT Std" w:cs="Calibri"/>
          <w:sz w:val="22"/>
        </w:rPr>
        <w:lastRenderedPageBreak/>
        <w:t>manteniendo los sistemas de protección instalados en su régimen habitual de funcionamiento. Si las medidas ejecutadas comportan obras o transformaciones que puedan afectar de manera significativa a las concentraciones, las mediciones deberán iniciarse en el plazo máximo de seis meses desde su finalización (artículo sexto.2 de la IS-47).</w:t>
      </w:r>
    </w:p>
    <w:p w14:paraId="13A43619" w14:textId="77777777" w:rsidR="00873094" w:rsidRPr="00873094" w:rsidRDefault="00873094" w:rsidP="00873094">
      <w:pPr>
        <w:pStyle w:val="ListParagraph"/>
        <w:rPr>
          <w:rFonts w:ascii="Helvetica LT Std" w:hAnsi="Helvetica LT Std" w:cs="Calibri"/>
          <w:sz w:val="22"/>
        </w:rPr>
      </w:pPr>
    </w:p>
    <w:p w14:paraId="001DEF4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Fase 4. Actuaciones adicionales si persiste la superación: </w:t>
      </w:r>
      <w:r>
        <w:rPr>
          <w:rFonts w:ascii="Helvetica LT Std" w:hAnsi="Helvetica LT Std" w:cs="Calibri"/>
          <w:sz w:val="22"/>
        </w:rPr>
        <w:t>si tras las medidas correctoras se mantuviera la superación del nivel de referencia en alguna zona, serán de aplicación las obligaciones descritas en el apartado 7.4 (estimación de dosis, declaración ante la Administración y, en su caso, medidas de protección radiológica).</w:t>
      </w:r>
    </w:p>
    <w:p w14:paraId="1771E0A6" w14:textId="77777777" w:rsidR="0072409B" w:rsidRDefault="0072409B">
      <w:pPr>
        <w:pStyle w:val="BodyText"/>
        <w:spacing w:line="360" w:lineRule="auto"/>
        <w:rPr>
          <w:rFonts w:ascii="Helvetica LT Std" w:hAnsi="Helvetica LT Std" w:cs="Calibri"/>
          <w:sz w:val="22"/>
        </w:rPr>
      </w:pPr>
    </w:p>
    <w:p w14:paraId="06C3EFF7" w14:textId="77777777" w:rsidR="0072409B" w:rsidRDefault="001B5D1A">
      <w:pPr>
        <w:pStyle w:val="Heading1"/>
        <w:spacing w:line="360" w:lineRule="auto"/>
        <w:rPr>
          <w:rFonts w:ascii="Helvetica LT Std" w:hAnsi="Helvetica LT Std" w:cs="Arial"/>
        </w:rPr>
      </w:pPr>
      <w:r>
        <w:rPr>
          <w:rFonts w:ascii="Helvetica LT Std" w:hAnsi="Helvetica LT Std" w:cs="Arial"/>
        </w:rPr>
        <w:t>6. MEDIDAS DE REMEDIACIÓN</w:t>
      </w:r>
    </w:p>
    <w:p w14:paraId="25D9864B" w14:textId="77777777" w:rsidR="0072409B" w:rsidRDefault="0072409B">
      <w:pPr>
        <w:pStyle w:val="BodyText"/>
        <w:spacing w:line="360" w:lineRule="auto"/>
        <w:rPr>
          <w:rFonts w:ascii="Helvetica LT Std" w:hAnsi="Helvetica LT Std" w:cs="Calibri"/>
          <w:sz w:val="22"/>
        </w:rPr>
      </w:pPr>
    </w:p>
    <w:p w14:paraId="2501B3A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Las medidas de remediación están destinadas, en primer lugar, a evitar la entrada del radón en el lugar de trabajo y, en segundo lugar, a evitar su acumulación. El catálogo que sigue se basa en la sección DB HS6 del Código Técnico de la Edificación, en su Guía de rehabilitación frente al radón y en la NTP 1228 del INSST. La eficacia de cada solución depende de las vías de entrada existentes y de las características constructivas del edificio, por lo que es habitual combinar varias de ellas. Para intervenciones en edificios existentes con mediciones disponibles, el DB HS6 (apartado 3.4) gradúa la respuesta: con valores entre una y dos veces el nivel de referencia (300–600 Bq/m³) se adoptarán las soluciones previstas para los municipios de zona I; con valores superiores al doble del nivel de referencia (más de 600 Bq/m³), las previstas para los municipios de zona II.</w:t>
      </w:r>
    </w:p>
    <w:p w14:paraId="36343E5D" w14:textId="77777777" w:rsidR="00873094" w:rsidRDefault="00873094">
      <w:pPr>
        <w:pStyle w:val="BodyText"/>
        <w:spacing w:line="360" w:lineRule="auto"/>
        <w:rPr>
          <w:rFonts w:ascii="Helvetica LT Std" w:hAnsi="Helvetica LT Std" w:cs="Calibri"/>
          <w:sz w:val="22"/>
        </w:rPr>
      </w:pPr>
    </w:p>
    <w:p w14:paraId="4D5714B8"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6.1. Medidas de aislamiento frente al terreno</w:t>
      </w:r>
    </w:p>
    <w:p w14:paraId="450F13D6" w14:textId="77777777" w:rsidR="00873094" w:rsidRDefault="00873094">
      <w:pPr>
        <w:pStyle w:val="BodyText"/>
        <w:spacing w:line="360" w:lineRule="auto"/>
        <w:rPr>
          <w:rFonts w:ascii="Helvetica LT Std" w:hAnsi="Helvetica LT Std" w:cs="Calibri"/>
          <w:b/>
          <w:bCs/>
          <w:sz w:val="22"/>
        </w:rPr>
      </w:pPr>
    </w:p>
    <w:p w14:paraId="20C2B00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Sellado de las vías de entrada: </w:t>
      </w:r>
      <w:r>
        <w:rPr>
          <w:rFonts w:ascii="Helvetica LT Std" w:hAnsi="Helvetica LT Std" w:cs="Calibri"/>
          <w:sz w:val="22"/>
        </w:rPr>
        <w:t>sellado de grietas, fisuras, juntas de soleras y muros, encuentros suelo-pared y pasos de instalaciones (tuberías, arquetas, canalizaciones) mediante masillas elásticas y morteros adecuados. Es la actuación de menor coste y suele ser el primer paso, aunque rara vez resulta suficiente por sí sola ante superaciones significativas.</w:t>
      </w:r>
    </w:p>
    <w:p w14:paraId="3DAB2ABD" w14:textId="77777777" w:rsidR="00873094" w:rsidRPr="00873094" w:rsidRDefault="00873094" w:rsidP="00873094">
      <w:pPr>
        <w:pStyle w:val="ListParagraph"/>
        <w:spacing w:line="360" w:lineRule="auto"/>
        <w:rPr>
          <w:rFonts w:ascii="Helvetica LT Std" w:hAnsi="Helvetica LT Std" w:cs="Calibri"/>
          <w:sz w:val="22"/>
        </w:rPr>
      </w:pPr>
    </w:p>
    <w:p w14:paraId="67E71C68" w14:textId="373D1714"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lastRenderedPageBreak/>
        <w:t xml:space="preserve">Barrera de protección frente al radón: </w:t>
      </w:r>
      <w:r>
        <w:rPr>
          <w:rFonts w:ascii="Helvetica LT Std" w:hAnsi="Helvetica LT Std" w:cs="Calibri"/>
          <w:sz w:val="22"/>
        </w:rPr>
        <w:t>elemento continuo que limita el paso de los gases provenientes del terreno. El CTE DB HS6 (apartado 3.1.1) considera válidas, sin necesidad de cálculo, las barreras tipo lámina con un coeficiente de difusión frente al radón menor que 10</w:t>
      </w:r>
      <w:r>
        <w:rPr>
          <w:rFonts w:ascii="Helvetica LT Std" w:hAnsi="Helvetica LT Std" w:cs="Calibri"/>
          <w:sz w:val="22"/>
          <w:vertAlign w:val="superscript"/>
        </w:rPr>
        <w:t>-11</w:t>
      </w:r>
      <w:r>
        <w:rPr>
          <w:rFonts w:ascii="Helvetica LT Std" w:hAnsi="Helvetica LT Std" w:cs="Calibri"/>
          <w:sz w:val="22"/>
        </w:rPr>
        <w:t xml:space="preserve"> m²/s y un espesor mínimo de 2 mm, con continuidad garantizada y juntas, encuentros y perforaciones selladas. En edificios existentes su instalación suele requerir intervención sobre la solera.</w:t>
      </w:r>
    </w:p>
    <w:p w14:paraId="06063572" w14:textId="77777777" w:rsidR="00873094" w:rsidRDefault="00873094" w:rsidP="00873094">
      <w:pPr>
        <w:pStyle w:val="ListParagraph"/>
        <w:spacing w:line="360" w:lineRule="auto"/>
        <w:rPr>
          <w:rFonts w:ascii="Helvetica LT Std" w:hAnsi="Helvetica LT Std" w:cs="Calibri"/>
          <w:sz w:val="22"/>
        </w:rPr>
      </w:pPr>
    </w:p>
    <w:p w14:paraId="2839C04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Puertas estancas: </w:t>
      </w:r>
      <w:r>
        <w:rPr>
          <w:rFonts w:ascii="Helvetica LT Std" w:hAnsi="Helvetica LT Std" w:cs="Calibri"/>
          <w:sz w:val="22"/>
        </w:rPr>
        <w:t>instalación de puertas estancas entre los locales ocupados y los espacios en contacto con el terreno (sótanos, cuartos de instalaciones, huecos de ascensor); cuando interrumpan la continuidad de la barrera de protección deberán, además, disponer de mecanismo de cierre automático (apartado 3.1.1 del DB HS6).</w:t>
      </w:r>
    </w:p>
    <w:p w14:paraId="65382EC8" w14:textId="77777777" w:rsidR="00873094" w:rsidRPr="00873094" w:rsidRDefault="00873094" w:rsidP="00873094">
      <w:pPr>
        <w:pStyle w:val="ListParagraph"/>
        <w:rPr>
          <w:rFonts w:ascii="Helvetica LT Std" w:hAnsi="Helvetica LT Std" w:cs="Calibri"/>
          <w:sz w:val="22"/>
        </w:rPr>
      </w:pPr>
    </w:p>
    <w:p w14:paraId="357BB0BE" w14:textId="77777777" w:rsidR="00873094" w:rsidRDefault="00873094" w:rsidP="00873094">
      <w:pPr>
        <w:spacing w:line="360" w:lineRule="auto"/>
        <w:rPr>
          <w:rFonts w:ascii="Helvetica LT Std" w:hAnsi="Helvetica LT Std" w:cs="Calibri"/>
          <w:sz w:val="22"/>
        </w:rPr>
      </w:pPr>
    </w:p>
    <w:p w14:paraId="4A91953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6.2. Medidas de ventilación y extracción</w:t>
      </w:r>
    </w:p>
    <w:p w14:paraId="55849FC1" w14:textId="77777777" w:rsidR="00873094" w:rsidRDefault="00873094">
      <w:pPr>
        <w:pStyle w:val="BodyText"/>
        <w:spacing w:line="360" w:lineRule="auto"/>
        <w:rPr>
          <w:rFonts w:ascii="Helvetica LT Std" w:hAnsi="Helvetica LT Std" w:cs="Calibri"/>
          <w:b/>
          <w:bCs/>
          <w:sz w:val="22"/>
        </w:rPr>
      </w:pPr>
    </w:p>
    <w:p w14:paraId="4E15643F"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Mejora de la ventilación del local: </w:t>
      </w:r>
      <w:r>
        <w:rPr>
          <w:rFonts w:ascii="Helvetica LT Std" w:hAnsi="Helvetica LT Std" w:cs="Calibri"/>
          <w:sz w:val="22"/>
        </w:rPr>
        <w:t>incremento de la ventilación natural o instalación/ajuste de ventilación mecánica que aumente la tasa de renovación de aire, incluida la posibilidad de mantener el local en ligera sobrepresión para dificultar la entrada del aire del terreno.</w:t>
      </w:r>
    </w:p>
    <w:p w14:paraId="5AC3F9F6" w14:textId="77777777" w:rsidR="00873094" w:rsidRDefault="00873094" w:rsidP="00873094">
      <w:pPr>
        <w:pStyle w:val="ListParagraph"/>
        <w:spacing w:line="360" w:lineRule="auto"/>
        <w:rPr>
          <w:rFonts w:ascii="Helvetica LT Std" w:hAnsi="Helvetica LT Std" w:cs="Calibri"/>
          <w:sz w:val="22"/>
        </w:rPr>
      </w:pPr>
    </w:p>
    <w:p w14:paraId="25B3B0DC"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Ventilación del espacio de contención: </w:t>
      </w:r>
      <w:r>
        <w:rPr>
          <w:rFonts w:ascii="Helvetica LT Std" w:hAnsi="Helvetica LT Std" w:cs="Calibri"/>
          <w:sz w:val="22"/>
        </w:rPr>
        <w:t>ventilación, natural o mecánica, de cámaras sanitarias, forjados sanitarios o sótanos no habitables situados entre el terreno y los locales ocupados, de modo que el radón se evacúe antes de alcanzar las zonas de trabajo.</w:t>
      </w:r>
    </w:p>
    <w:p w14:paraId="16ED9FD5" w14:textId="77777777" w:rsidR="00873094" w:rsidRDefault="00873094" w:rsidP="00873094">
      <w:pPr>
        <w:pStyle w:val="ListParagraph"/>
        <w:spacing w:line="360" w:lineRule="auto"/>
        <w:rPr>
          <w:rFonts w:ascii="Helvetica LT Std" w:hAnsi="Helvetica LT Std" w:cs="Calibri"/>
          <w:sz w:val="22"/>
        </w:rPr>
      </w:pPr>
    </w:p>
    <w:p w14:paraId="7994B7F1"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b/>
          <w:bCs/>
          <w:sz w:val="22"/>
        </w:rPr>
        <w:t xml:space="preserve">Despresurización del terreno: </w:t>
      </w:r>
      <w:r>
        <w:rPr>
          <w:rFonts w:ascii="Helvetica LT Std" w:hAnsi="Helvetica LT Std" w:cs="Calibri"/>
          <w:sz w:val="22"/>
        </w:rPr>
        <w:t>sistema, pasivo o con extractor mecánico, que mediante arquetas o pozos de captación bajo la solera y conductos de evacuación extrae el gas del terreno y lo expulsa al exterior por encima de la cubierta. Es, con carácter general, la solución más eficaz ante superaciones elevadas, y es uno de los dos sistemas adicionales que el CTE DB HS6 (apartado 3.1.b) exige combinar con la barrera de protección en los municipios de zona II (el otro es el espacio de contención ventilado).</w:t>
      </w:r>
    </w:p>
    <w:p w14:paraId="4B76836A" w14:textId="77777777" w:rsidR="00873094" w:rsidRPr="00A4498F" w:rsidRDefault="00873094" w:rsidP="00A4498F">
      <w:pPr>
        <w:spacing w:line="360" w:lineRule="auto"/>
        <w:ind w:left="360"/>
        <w:rPr>
          <w:rFonts w:ascii="Helvetica LT Std" w:hAnsi="Helvetica LT Std" w:cs="Calibri"/>
          <w:sz w:val="22"/>
        </w:rPr>
      </w:pPr>
    </w:p>
    <w:p w14:paraId="59619874" w14:textId="004CA518" w:rsidR="0072409B" w:rsidRDefault="001B5D1A">
      <w:pPr>
        <w:pStyle w:val="BodyText"/>
        <w:spacing w:line="360" w:lineRule="auto"/>
        <w:rPr>
          <w:rFonts w:ascii="Helvetica LT Std" w:hAnsi="Helvetica LT Std" w:cs="Calibri"/>
          <w:sz w:val="22"/>
        </w:rPr>
      </w:pPr>
      <w:r>
        <w:rPr>
          <w:rFonts w:ascii="Helvetica LT Std" w:hAnsi="Helvetica LT Std" w:cs="Calibri"/>
          <w:sz w:val="22"/>
        </w:rPr>
        <w:lastRenderedPageBreak/>
        <w:t>Cuando proceda ejecutar soluciones constructivas, el estudio deberá incluir además un informe emitido por un profesional competente habilitado para realizar proyectos técnicos de edificación.</w:t>
      </w:r>
    </w:p>
    <w:p w14:paraId="3350595A" w14:textId="77777777" w:rsidR="00873094" w:rsidRDefault="00873094">
      <w:pPr>
        <w:pStyle w:val="BodyText"/>
        <w:spacing w:line="360" w:lineRule="auto"/>
        <w:rPr>
          <w:rFonts w:ascii="Helvetica LT Std" w:hAnsi="Helvetica LT Std" w:cs="Calibri"/>
          <w:sz w:val="22"/>
        </w:rPr>
      </w:pPr>
    </w:p>
    <w:p w14:paraId="10227661"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6.3. Medidas administrativas de reducción de la exposición</w:t>
      </w:r>
    </w:p>
    <w:p w14:paraId="152431B8"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Con carácter complementario o transitorio, mientras se ejecutan las medidas de remediación, pueden adoptarse medidas organizativas que reducen la exposición de las personas trabajadoras sin actuar sobre la concentración:</w:t>
      </w:r>
    </w:p>
    <w:p w14:paraId="0E4D9B26" w14:textId="77777777" w:rsidR="00720CEE" w:rsidRDefault="00720CEE">
      <w:pPr>
        <w:pStyle w:val="BodyText"/>
        <w:spacing w:line="360" w:lineRule="auto"/>
        <w:rPr>
          <w:rFonts w:ascii="Helvetica LT Std" w:hAnsi="Helvetica LT Std" w:cs="Calibri"/>
          <w:sz w:val="22"/>
        </w:rPr>
      </w:pPr>
    </w:p>
    <w:p w14:paraId="58109518" w14:textId="77777777" w:rsidR="00720CEE" w:rsidRDefault="00720CEE">
      <w:pPr>
        <w:pStyle w:val="BodyText"/>
        <w:spacing w:line="360" w:lineRule="auto"/>
        <w:rPr>
          <w:rFonts w:ascii="Helvetica LT Std" w:hAnsi="Helvetica LT Std" w:cs="Calibri"/>
          <w:sz w:val="22"/>
        </w:rPr>
      </w:pPr>
    </w:p>
    <w:p w14:paraId="28942873"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Limitación del tiempo de permanencia en las zonas afectadas y reorganización de tareas y turnos.</w:t>
      </w:r>
    </w:p>
    <w:p w14:paraId="06F0B06D" w14:textId="77777777" w:rsidR="00A4498F" w:rsidRDefault="00A4498F" w:rsidP="00A4498F">
      <w:pPr>
        <w:pStyle w:val="ListParagraph"/>
        <w:spacing w:line="360" w:lineRule="auto"/>
        <w:rPr>
          <w:rFonts w:ascii="Helvetica LT Std" w:hAnsi="Helvetica LT Std" w:cs="Calibri"/>
          <w:sz w:val="22"/>
        </w:rPr>
      </w:pPr>
    </w:p>
    <w:p w14:paraId="56E09DFD" w14:textId="440174F5"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Reubicación de los puestos de trabajo fijos fuera de las zonas afectadas, cuando sea posible.</w:t>
      </w:r>
    </w:p>
    <w:p w14:paraId="02606D0D" w14:textId="77777777" w:rsidR="00720CEE" w:rsidRDefault="00720CEE" w:rsidP="00720CEE">
      <w:pPr>
        <w:pStyle w:val="ListParagraph"/>
        <w:spacing w:line="360" w:lineRule="auto"/>
        <w:rPr>
          <w:rFonts w:ascii="Helvetica LT Std" w:hAnsi="Helvetica LT Std" w:cs="Calibri"/>
          <w:sz w:val="22"/>
        </w:rPr>
      </w:pPr>
    </w:p>
    <w:p w14:paraId="0219E76E" w14:textId="77777777" w:rsidR="0072409B" w:rsidRDefault="001B5D1A">
      <w:pPr>
        <w:pStyle w:val="ListParagraph"/>
        <w:numPr>
          <w:ilvl w:val="0"/>
          <w:numId w:val="2"/>
        </w:numPr>
        <w:spacing w:line="360" w:lineRule="auto"/>
        <w:rPr>
          <w:rFonts w:ascii="Helvetica LT Std" w:hAnsi="Helvetica LT Std" w:cs="Calibri"/>
          <w:sz w:val="22"/>
        </w:rPr>
      </w:pPr>
      <w:r>
        <w:rPr>
          <w:rFonts w:ascii="Helvetica LT Std" w:hAnsi="Helvetica LT Std" w:cs="Calibri"/>
          <w:sz w:val="22"/>
        </w:rPr>
        <w:t xml:space="preserve">Uso de equipos de protección individual: el CSN señala que el uso de mascarillas filtrantes puede contribuir a reducir las dosis debidas al radón. Su selección y utilización (por ejemplo, mascarillas </w:t>
      </w:r>
      <w:proofErr w:type="spellStart"/>
      <w:r>
        <w:rPr>
          <w:rFonts w:ascii="Helvetica LT Std" w:hAnsi="Helvetica LT Std" w:cs="Calibri"/>
          <w:sz w:val="22"/>
        </w:rPr>
        <w:t>autofiltrantes</w:t>
      </w:r>
      <w:proofErr w:type="spellEnd"/>
      <w:r>
        <w:rPr>
          <w:rFonts w:ascii="Helvetica LT Std" w:hAnsi="Helvetica LT Std" w:cs="Calibri"/>
          <w:sz w:val="22"/>
        </w:rPr>
        <w:t xml:space="preserve"> frente a partículas FFP2/FFP3) se ajustará al Real Decreto 773/1997, como medida complementaria y de último recurso (artículo 17 de la Ley 31/1995), sin sustituir en ningún caso a las medidas de remediación.</w:t>
      </w:r>
    </w:p>
    <w:p w14:paraId="2BA2EFC9" w14:textId="77777777" w:rsidR="00720CEE" w:rsidRDefault="00720CEE" w:rsidP="00720CEE">
      <w:pPr>
        <w:pStyle w:val="ListParagraph"/>
        <w:spacing w:line="360" w:lineRule="auto"/>
        <w:rPr>
          <w:rFonts w:ascii="Helvetica LT Std" w:hAnsi="Helvetica LT Std" w:cs="Calibri"/>
          <w:sz w:val="22"/>
        </w:rPr>
      </w:pPr>
    </w:p>
    <w:p w14:paraId="36D00562"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Estas medidas no sustituyen a las de remediación y su diseño debe contar con el asesoramiento de una UTPR.</w:t>
      </w:r>
    </w:p>
    <w:p w14:paraId="373A1CC5" w14:textId="77777777" w:rsidR="00720CEE" w:rsidRDefault="00720CEE">
      <w:pPr>
        <w:pStyle w:val="BodyText"/>
        <w:spacing w:line="360" w:lineRule="auto"/>
        <w:rPr>
          <w:rFonts w:ascii="Helvetica LT Std" w:hAnsi="Helvetica LT Std" w:cs="Calibri"/>
          <w:sz w:val="22"/>
        </w:rPr>
      </w:pPr>
    </w:p>
    <w:p w14:paraId="6BE3AF1B" w14:textId="77777777" w:rsidR="0072409B" w:rsidRDefault="0072409B">
      <w:pPr>
        <w:pStyle w:val="BodyText"/>
        <w:spacing w:line="360" w:lineRule="auto"/>
        <w:rPr>
          <w:rFonts w:ascii="Helvetica LT Std" w:hAnsi="Helvetica LT Std" w:cs="Calibri"/>
          <w:sz w:val="22"/>
        </w:rPr>
      </w:pPr>
    </w:p>
    <w:p w14:paraId="18C189E2" w14:textId="77777777" w:rsidR="0072409B" w:rsidRDefault="001B5D1A">
      <w:pPr>
        <w:pStyle w:val="Heading1"/>
        <w:spacing w:line="360" w:lineRule="auto"/>
        <w:rPr>
          <w:rFonts w:ascii="Helvetica LT Std" w:hAnsi="Helvetica LT Std" w:cs="Arial"/>
        </w:rPr>
      </w:pPr>
      <w:r>
        <w:rPr>
          <w:rFonts w:ascii="Helvetica LT Std" w:hAnsi="Helvetica LT Std" w:cs="Arial"/>
        </w:rPr>
        <w:t>7. OBLIGACIONES DEL TITULAR Y PLAZOS</w:t>
      </w:r>
    </w:p>
    <w:p w14:paraId="53D36C4E" w14:textId="77777777" w:rsidR="0072409B" w:rsidRDefault="0072409B">
      <w:pPr>
        <w:pStyle w:val="BodyText"/>
        <w:spacing w:line="360" w:lineRule="auto"/>
        <w:rPr>
          <w:rFonts w:ascii="Helvetica LT Std" w:hAnsi="Helvetica LT Std" w:cs="Calibri"/>
          <w:sz w:val="22"/>
        </w:rPr>
      </w:pPr>
    </w:p>
    <w:p w14:paraId="70EED7EE"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7.1. Información y consulta a las personas trabajadoras</w:t>
      </w:r>
    </w:p>
    <w:p w14:paraId="15DEBF5F" w14:textId="77777777" w:rsidR="0072409B"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Conforme al artículo octavo de la Instrucción IS-47, el titular debe informar a las personas trabajadoras, o a sus representantes, de los resultados obtenidos en el estudio y, al haberse registrado zonas con promedios superiores a 300 Bq/m³, consultarles sobre las posibles medidas de remediación o de reducción de las exposiciones. El presente informe </w:t>
      </w:r>
      <w:r>
        <w:rPr>
          <w:rFonts w:ascii="Helvetica LT Std" w:hAnsi="Helvetica LT Std" w:cs="Calibri"/>
          <w:sz w:val="22"/>
        </w:rPr>
        <w:lastRenderedPageBreak/>
        <w:t>debe integrarse en la evaluación de riesgos laborales del centro (artículo 19.1 del RPSI y Ley 31/1995) y permanecer a disposición de las personas trabajadoras, de la inspección del CSN, de la Inspección de Trabajo y Seguridad Social, de las autoridades sanitarias y de las demás administraciones competentes (artículo séptimo de la Instrucción IS-47 y artículo 76.3 del RPSI).</w:t>
      </w:r>
    </w:p>
    <w:p w14:paraId="534627DA" w14:textId="77777777" w:rsidR="00CF2256" w:rsidRDefault="00CF2256">
      <w:pPr>
        <w:pStyle w:val="BodyText"/>
        <w:spacing w:line="360" w:lineRule="auto"/>
        <w:rPr>
          <w:rFonts w:ascii="Helvetica LT Std" w:hAnsi="Helvetica LT Std" w:cs="Calibri"/>
          <w:sz w:val="22"/>
        </w:rPr>
      </w:pPr>
    </w:p>
    <w:p w14:paraId="1D60675F" w14:textId="77777777" w:rsidR="0072409B" w:rsidRDefault="001B5D1A">
      <w:pPr>
        <w:pStyle w:val="BodyText"/>
        <w:spacing w:line="360" w:lineRule="auto"/>
        <w:rPr>
          <w:rFonts w:ascii="Helvetica LT Std" w:hAnsi="Helvetica LT Std" w:cs="Calibri"/>
          <w:b/>
          <w:bCs/>
          <w:sz w:val="22"/>
        </w:rPr>
      </w:pPr>
      <w:r>
        <w:rPr>
          <w:rFonts w:ascii="Helvetica LT Std" w:hAnsi="Helvetica LT Std" w:cs="Calibri"/>
          <w:b/>
          <w:bCs/>
          <w:sz w:val="22"/>
        </w:rPr>
        <w:t>7.2. Medición de comprobación y periodicidad de los estudios</w:t>
      </w:r>
    </w:p>
    <w:p w14:paraId="218FC96E" w14:textId="77777777" w:rsidR="00CA2A66"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Tras la implantación de las medidas correctoras deberá revaluarse el promedio anual de concentración de radón (artículo 75.2 del RPSI). Además, conforme al artículo sexto de la Instrucción IS-47, al haberse detectado valores superiores a 300 Bq/m³, los estudios de medición deberán actualizarse cada cinco años en lugar de cada diez, frecuencia que también se aplica mientras sea necesario mantener en funcionamiento sistemas activos de protección. </w:t>
      </w:r>
    </w:p>
    <w:p w14:paraId="463FCD37" w14:textId="77777777" w:rsidR="00CA2A66" w:rsidRDefault="001B5D1A">
      <w:pPr>
        <w:pStyle w:val="BodyText"/>
        <w:spacing w:line="360" w:lineRule="auto"/>
        <w:rPr>
          <w:rFonts w:ascii="Helvetica LT Std" w:hAnsi="Helvetica LT Std" w:cs="Calibri"/>
          <w:sz w:val="22"/>
        </w:rPr>
      </w:pPr>
      <w:r>
        <w:rPr>
          <w:rFonts w:ascii="Helvetica LT Std" w:hAnsi="Helvetica LT Std" w:cs="Calibri"/>
          <w:sz w:val="22"/>
        </w:rPr>
        <w:t xml:space="preserve">Cada actualización incluirá al menos un tercio de los puntos del estudio inicial, priorizando las ubicaciones con resultados más elevados y todas aquellas que hayan superado los 300 Bq/m³ en cualquiera de las dos últimas actualizaciones. </w:t>
      </w:r>
    </w:p>
    <w:p w14:paraId="166A6269" w14:textId="242F50E9" w:rsidR="0072409B" w:rsidRDefault="001B5D1A">
      <w:pPr>
        <w:pStyle w:val="BodyText"/>
        <w:spacing w:line="360" w:lineRule="auto"/>
        <w:rPr>
          <w:rFonts w:ascii="Helvetica LT Std" w:hAnsi="Helvetica LT Std" w:cs="Calibri"/>
          <w:sz w:val="22"/>
        </w:rPr>
      </w:pPr>
      <w:r>
        <w:rPr>
          <w:rFonts w:ascii="Helvetica LT Std" w:hAnsi="Helvetica LT Std" w:cs="Calibri"/>
          <w:sz w:val="22"/>
        </w:rPr>
        <w:t>Asimismo, si se realizan obras o transformaciones que puedan afectar a las concentraciones de radón (reducción de la renovación de aire, modificación del contacto con el terreno), deberá iniciarse una nueva medición en el plazo máximo de seis meses tras su finalización.</w:t>
      </w:r>
    </w:p>
    <w:p w14:paraId="052087B5" w14:textId="77777777" w:rsidR="00CF2256" w:rsidRDefault="00CF2256">
      <w:pPr>
        <w:pStyle w:val="BodyText"/>
        <w:spacing w:line="360" w:lineRule="auto"/>
        <w:rPr>
          <w:rFonts w:ascii="Helvetica LT Std" w:hAnsi="Helvetica LT Std" w:cs="Calibri"/>
          <w:sz w:val="22"/>
        </w:rPr>
      </w:pPr>
    </w:p>
    <w:p w14:paraId="5E3F9904" w14:textId="77777777" w:rsidR="00CF2256" w:rsidRDefault="00CF2256" w:rsidP="00CF2256">
      <w:pPr>
        <w:pStyle w:val="ListParagraph"/>
        <w:spacing w:line="360" w:lineRule="auto"/>
        <w:rPr>
          <w:rFonts w:ascii="Helvetica LT Std" w:hAnsi="Helvetica LT Std" w:cs="Calibri"/>
          <w:sz w:val="22"/>
        </w:rPr>
      </w:pPr>
    </w:p>
    <w:p w14:paraId="0FFC85B7" w14:textId="07D84B8A" w:rsidR="00A36BAA" w:rsidRPr="007B62CB" w:rsidRDefault="00E57CC5"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0F2DCDB3" wp14:editId="2A0BF4CF">
            <wp:extent cx="1157977" cy="810986"/>
            <wp:effectExtent l="0" t="0" r="0" b="8255"/>
            <wp:docPr id="216618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69192" cy="818840"/>
                    </a:xfrm>
                    <a:prstGeom prst="rect">
                      <a:avLst/>
                    </a:prstGeom>
                    <a:noFill/>
                    <a:ln>
                      <a:noFill/>
                    </a:ln>
                  </pic:spPr>
                </pic:pic>
              </a:graphicData>
            </a:graphic>
          </wp:inline>
        </w:drawing>
      </w:r>
    </w:p>
    <w:p w14:paraId="65A285EF" w14:textId="75C1A383" w:rsidR="003374C6" w:rsidRDefault="00382F44" w:rsidP="00F607EA">
      <w:pPr>
        <w:pStyle w:val="BodyText"/>
        <w:spacing w:line="360" w:lineRule="auto"/>
        <w:rPr>
          <w:rFonts w:ascii="Helvetica LT Std" w:hAnsi="Helvetica LT Std" w:cs="Calibri"/>
          <w:sz w:val="22"/>
        </w:rPr>
      </w:pPr>
      <w:r>
        <w:rPr>
          <w:rFonts w:ascii="Helvetica LT Std" w:hAnsi="Helvetica LT Std" w:cs="Calibri"/>
          <w:sz w:val="22"/>
        </w:rPr>
        <w:t>Helena Hernández Martín</w:t>
      </w:r>
    </w:p>
    <w:p w14:paraId="5BE92BE7" w14:textId="588CAD3D"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78649518Y</w:t>
      </w:r>
    </w:p>
    <w:p w14:paraId="2E5D64F8" w14:textId="73A2EF12" w:rsidR="005215E4" w:rsidRDefault="005215E4" w:rsidP="005215E4">
      <w:pPr>
        <w:pStyle w:val="BodyText"/>
        <w:spacing w:line="312" w:lineRule="auto"/>
        <w:rPr>
          <w:rFonts w:ascii="Helvetica LT Std" w:hAnsi="Helvetica LT Std" w:cs="Calibri"/>
          <w:sz w:val="22"/>
        </w:rPr>
      </w:pPr>
      <w:r>
        <w:rPr>
          <w:rFonts w:ascii="Helvetica LT Std" w:hAnsi="Helvetica LT Std" w:cs="Calibri"/>
          <w:sz w:val="22"/>
        </w:rPr>
        <w:t>Estudios del Terreno, S.L.</w:t>
      </w:r>
    </w:p>
    <w:p w14:paraId="26F91477" w14:textId="3A9B669F" w:rsidR="00F86FAE" w:rsidRDefault="00A36BAA" w:rsidP="00F607EA">
      <w:pPr>
        <w:pStyle w:val="BodyText"/>
        <w:spacing w:line="360"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3E709768" w14:textId="62643D90" w:rsidR="00AF6AA1" w:rsidRDefault="00AF6AA1" w:rsidP="00F607EA">
      <w:pPr>
        <w:pStyle w:val="BodyText"/>
        <w:spacing w:line="360" w:lineRule="auto"/>
        <w:rPr>
          <w:rFonts w:ascii="Helvetica LT Std" w:hAnsi="Helvetica LT Std" w:cs="Calibri"/>
          <w:sz w:val="22"/>
        </w:rPr>
      </w:pPr>
      <w:r>
        <w:rPr>
          <w:rFonts w:ascii="Helvetica LT Std" w:hAnsi="Helvetica LT Std" w:cs="Calibri"/>
          <w:sz w:val="22"/>
        </w:rPr>
        <w:t xml:space="preserve">Máster en Gestión Ambiental y Energética de las Organizaciones por la Universidad Europea </w:t>
      </w:r>
    </w:p>
    <w:p w14:paraId="3C92EFA0" w14:textId="77777777" w:rsidR="0028388D" w:rsidRPr="00314BD3" w:rsidRDefault="0028388D" w:rsidP="00D90A45">
      <w:pPr>
        <w:pStyle w:val="BodyText"/>
        <w:spacing w:line="312" w:lineRule="auto"/>
        <w:rPr>
          <w:rFonts w:ascii="HelveticaNeueLT Std" w:hAnsi="HelveticaNeueLT Std" w:cs="Calibri"/>
          <w:sz w:val="22"/>
        </w:rPr>
      </w:pPr>
    </w:p>
    <w:p w14:paraId="6BFF9128"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1"/>
      <w:footerReference w:type="default" r:id="rId12"/>
      <w:headerReference w:type="first" r:id="rId13"/>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AC987" w14:textId="77777777" w:rsidR="00987C87" w:rsidRDefault="00987C87">
      <w:r>
        <w:separator/>
      </w:r>
    </w:p>
  </w:endnote>
  <w:endnote w:type="continuationSeparator" w:id="0">
    <w:p w14:paraId="72477E4E" w14:textId="77777777" w:rsidR="00987C87" w:rsidRDefault="00987C87">
      <w:r>
        <w:continuationSeparator/>
      </w:r>
    </w:p>
  </w:endnote>
  <w:endnote w:type="continuationNotice" w:id="1">
    <w:p w14:paraId="1F2DF73B" w14:textId="77777777" w:rsidR="00987C87" w:rsidRDefault="00987C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67D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092EBC90"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C97A8" w14:textId="77777777" w:rsidR="00987C87" w:rsidRDefault="00987C87">
      <w:r>
        <w:separator/>
      </w:r>
    </w:p>
  </w:footnote>
  <w:footnote w:type="continuationSeparator" w:id="0">
    <w:p w14:paraId="456D9C58" w14:textId="77777777" w:rsidR="00987C87" w:rsidRDefault="00987C87">
      <w:r>
        <w:continuationSeparator/>
      </w:r>
    </w:p>
  </w:footnote>
  <w:footnote w:type="continuationNotice" w:id="1">
    <w:p w14:paraId="22EAE69E" w14:textId="77777777" w:rsidR="00987C87" w:rsidRDefault="00987C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E6DD" w14:textId="77777777" w:rsidR="00F25AE1" w:rsidRPr="00BD3490" w:rsidRDefault="00F25AE1">
    <w:pPr>
      <w:pStyle w:val="Header"/>
    </w:pPr>
  </w:p>
  <w:p w14:paraId="3D0355F2" w14:textId="77777777"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4404FE74" w14:textId="77777777"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67E0F"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193EB87A" w14:textId="77777777" w:rsidR="00EA2AD4" w:rsidRDefault="00EA2AD4" w:rsidP="00EA2AD4">
    <w:pPr>
      <w:pStyle w:val="Header"/>
      <w:rPr>
        <w:noProof/>
      </w:rPr>
    </w:pPr>
  </w:p>
  <w:p w14:paraId="1637EE8C"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C73C9C"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486D1F03" w14:textId="77777777" w:rsidR="00EA2AD4" w:rsidRDefault="00EA2AD4" w:rsidP="00EA2AD4">
    <w:pPr>
      <w:pStyle w:val="Header"/>
    </w:pPr>
  </w:p>
  <w:p w14:paraId="1D4B96F9" w14:textId="77777777" w:rsidR="00EA2AD4" w:rsidRDefault="00EA2AD4" w:rsidP="00EA2AD4">
    <w:pPr>
      <w:pStyle w:val="Header"/>
    </w:pPr>
  </w:p>
  <w:p w14:paraId="77EBA2F9" w14:textId="77777777"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5BF8690"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3F99F770" w14:textId="46165A42"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5215E4">
                          <w:rPr>
                            <w:sz w:val="32"/>
                            <w:szCs w:val="40"/>
                          </w:rPr>
                          <w:t>{CLIENTE}</w:t>
                        </w:r>
                      </w:sdtContent>
                    </w:sdt>
                  </w:p>
                  <w:p w14:paraId="10B65536" w14:textId="77777777" w:rsidR="004D0916" w:rsidRPr="00607FAB" w:rsidRDefault="004D0916" w:rsidP="004D0916">
                    <w:pPr>
                      <w:pStyle w:val="BodyText"/>
                      <w:ind w:right="-705"/>
                      <w:rPr>
                        <w:sz w:val="32"/>
                        <w:szCs w:val="32"/>
                      </w:rPr>
                    </w:pPr>
                  </w:p>
                  <w:p w14:paraId="3DEFC412"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3241BD02" w14:textId="77777777"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1B5D1A">
                          <w:rPr>
                            <w:sz w:val="32"/>
                            <w:szCs w:val="40"/>
                          </w:rPr>
                          <w:t>{TITULO_INFORME}</w:t>
                        </w:r>
                      </w:sdtContent>
                    </w:sdt>
                    <w:r w:rsidR="004D0916" w:rsidRPr="00607FAB">
                      <w:t xml:space="preserve"> </w:t>
                    </w:r>
                  </w:p>
                  <w:p w14:paraId="1EFCC0BB" w14:textId="77777777" w:rsidR="004D0916" w:rsidRPr="00607FAB" w:rsidRDefault="004D0916" w:rsidP="004D0916">
                    <w:pPr>
                      <w:pStyle w:val="BodyText2"/>
                      <w:tabs>
                        <w:tab w:val="left" w:pos="4500"/>
                        <w:tab w:val="left" w:pos="4860"/>
                      </w:tabs>
                      <w:ind w:right="504"/>
                      <w:rPr>
                        <w:b w:val="0"/>
                        <w:bCs w:val="0"/>
                        <w:szCs w:val="32"/>
                      </w:rPr>
                    </w:pPr>
                  </w:p>
                  <w:p w14:paraId="617A98F4"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46C38949" w14:textId="344C1B0E" w:rsidR="004D0916" w:rsidRDefault="0016364A" w:rsidP="0016364A">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802E0"/>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364A"/>
    <w:rsid w:val="00166458"/>
    <w:rsid w:val="00167A66"/>
    <w:rsid w:val="00173EAE"/>
    <w:rsid w:val="0018098D"/>
    <w:rsid w:val="00182E93"/>
    <w:rsid w:val="00190370"/>
    <w:rsid w:val="00197B20"/>
    <w:rsid w:val="001B5D1A"/>
    <w:rsid w:val="001B71B2"/>
    <w:rsid w:val="001C19E2"/>
    <w:rsid w:val="001C1DA0"/>
    <w:rsid w:val="001C202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606A5"/>
    <w:rsid w:val="00272569"/>
    <w:rsid w:val="0028388D"/>
    <w:rsid w:val="00283C6F"/>
    <w:rsid w:val="00284D13"/>
    <w:rsid w:val="00286884"/>
    <w:rsid w:val="0028748C"/>
    <w:rsid w:val="00290E79"/>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6D45"/>
    <w:rsid w:val="00303D8D"/>
    <w:rsid w:val="00305BA7"/>
    <w:rsid w:val="003063EE"/>
    <w:rsid w:val="003066ED"/>
    <w:rsid w:val="00312252"/>
    <w:rsid w:val="00312E0B"/>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08F1"/>
    <w:rsid w:val="003D2772"/>
    <w:rsid w:val="003D3A58"/>
    <w:rsid w:val="003E0286"/>
    <w:rsid w:val="003E03F5"/>
    <w:rsid w:val="003E2451"/>
    <w:rsid w:val="003F4241"/>
    <w:rsid w:val="003F6A45"/>
    <w:rsid w:val="00402671"/>
    <w:rsid w:val="0041093D"/>
    <w:rsid w:val="004163A1"/>
    <w:rsid w:val="00416C64"/>
    <w:rsid w:val="00421D35"/>
    <w:rsid w:val="00422E7D"/>
    <w:rsid w:val="00425ADE"/>
    <w:rsid w:val="00426E1A"/>
    <w:rsid w:val="004331C2"/>
    <w:rsid w:val="00435154"/>
    <w:rsid w:val="004362DF"/>
    <w:rsid w:val="004403D8"/>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F00B2"/>
    <w:rsid w:val="004F2EC9"/>
    <w:rsid w:val="004F3FE5"/>
    <w:rsid w:val="004F54AC"/>
    <w:rsid w:val="00502D98"/>
    <w:rsid w:val="00503977"/>
    <w:rsid w:val="0050433C"/>
    <w:rsid w:val="00511ABB"/>
    <w:rsid w:val="00512085"/>
    <w:rsid w:val="00512568"/>
    <w:rsid w:val="0051719F"/>
    <w:rsid w:val="005215E4"/>
    <w:rsid w:val="00526D78"/>
    <w:rsid w:val="0053316F"/>
    <w:rsid w:val="00535AFA"/>
    <w:rsid w:val="00545540"/>
    <w:rsid w:val="005554F1"/>
    <w:rsid w:val="00560354"/>
    <w:rsid w:val="00570EEE"/>
    <w:rsid w:val="00586892"/>
    <w:rsid w:val="00590343"/>
    <w:rsid w:val="0059584A"/>
    <w:rsid w:val="0059637C"/>
    <w:rsid w:val="005A056A"/>
    <w:rsid w:val="005A1F6F"/>
    <w:rsid w:val="005A512A"/>
    <w:rsid w:val="005A63F6"/>
    <w:rsid w:val="005B011D"/>
    <w:rsid w:val="005B0AA8"/>
    <w:rsid w:val="005B11C4"/>
    <w:rsid w:val="005C112A"/>
    <w:rsid w:val="005C34F5"/>
    <w:rsid w:val="005C3FFE"/>
    <w:rsid w:val="005C550E"/>
    <w:rsid w:val="005C64AD"/>
    <w:rsid w:val="005D5B6F"/>
    <w:rsid w:val="005E4C2D"/>
    <w:rsid w:val="005E5175"/>
    <w:rsid w:val="005E5C99"/>
    <w:rsid w:val="005F2E9B"/>
    <w:rsid w:val="005F6111"/>
    <w:rsid w:val="00602A7A"/>
    <w:rsid w:val="006105D3"/>
    <w:rsid w:val="006211C4"/>
    <w:rsid w:val="00621F26"/>
    <w:rsid w:val="006232BE"/>
    <w:rsid w:val="0062666B"/>
    <w:rsid w:val="00627C95"/>
    <w:rsid w:val="00633196"/>
    <w:rsid w:val="00635138"/>
    <w:rsid w:val="006423A2"/>
    <w:rsid w:val="006539AC"/>
    <w:rsid w:val="0065404A"/>
    <w:rsid w:val="00660D5C"/>
    <w:rsid w:val="006619A5"/>
    <w:rsid w:val="0066391E"/>
    <w:rsid w:val="00671FD2"/>
    <w:rsid w:val="00682118"/>
    <w:rsid w:val="00682A7E"/>
    <w:rsid w:val="00690D87"/>
    <w:rsid w:val="00693E99"/>
    <w:rsid w:val="00694861"/>
    <w:rsid w:val="00696F5C"/>
    <w:rsid w:val="006970C7"/>
    <w:rsid w:val="00697F8C"/>
    <w:rsid w:val="006A05B9"/>
    <w:rsid w:val="006B4D1B"/>
    <w:rsid w:val="006B4DCF"/>
    <w:rsid w:val="006C1481"/>
    <w:rsid w:val="006D0B3A"/>
    <w:rsid w:val="006D2AC7"/>
    <w:rsid w:val="006D6889"/>
    <w:rsid w:val="006E7F52"/>
    <w:rsid w:val="006F074B"/>
    <w:rsid w:val="006F0ED3"/>
    <w:rsid w:val="006F24D8"/>
    <w:rsid w:val="006F3060"/>
    <w:rsid w:val="00704357"/>
    <w:rsid w:val="00704EE1"/>
    <w:rsid w:val="007077F2"/>
    <w:rsid w:val="00710E2C"/>
    <w:rsid w:val="0071184D"/>
    <w:rsid w:val="007153CC"/>
    <w:rsid w:val="007173C5"/>
    <w:rsid w:val="00717CCE"/>
    <w:rsid w:val="00720CEE"/>
    <w:rsid w:val="00721D69"/>
    <w:rsid w:val="00722D96"/>
    <w:rsid w:val="0072409B"/>
    <w:rsid w:val="00726310"/>
    <w:rsid w:val="007360FB"/>
    <w:rsid w:val="00740CAA"/>
    <w:rsid w:val="00743613"/>
    <w:rsid w:val="007545FB"/>
    <w:rsid w:val="00757321"/>
    <w:rsid w:val="007669BD"/>
    <w:rsid w:val="00772D6D"/>
    <w:rsid w:val="00775ACE"/>
    <w:rsid w:val="007778E1"/>
    <w:rsid w:val="00781E9D"/>
    <w:rsid w:val="007824BC"/>
    <w:rsid w:val="0078686F"/>
    <w:rsid w:val="0078706A"/>
    <w:rsid w:val="00796993"/>
    <w:rsid w:val="007A4B14"/>
    <w:rsid w:val="007A4C11"/>
    <w:rsid w:val="007B4DD6"/>
    <w:rsid w:val="007B5331"/>
    <w:rsid w:val="007B62CB"/>
    <w:rsid w:val="007C01D0"/>
    <w:rsid w:val="007C0BCB"/>
    <w:rsid w:val="007C3CE1"/>
    <w:rsid w:val="007C7FB9"/>
    <w:rsid w:val="007D0233"/>
    <w:rsid w:val="007D0633"/>
    <w:rsid w:val="007D2BCF"/>
    <w:rsid w:val="007D3D4D"/>
    <w:rsid w:val="007D4B44"/>
    <w:rsid w:val="007E1094"/>
    <w:rsid w:val="007E1EEA"/>
    <w:rsid w:val="007E4E11"/>
    <w:rsid w:val="007E7CB9"/>
    <w:rsid w:val="007F4883"/>
    <w:rsid w:val="008025A5"/>
    <w:rsid w:val="00803A34"/>
    <w:rsid w:val="008052ED"/>
    <w:rsid w:val="00810126"/>
    <w:rsid w:val="008129B2"/>
    <w:rsid w:val="00821BAA"/>
    <w:rsid w:val="00826C0C"/>
    <w:rsid w:val="00827DD6"/>
    <w:rsid w:val="00832A8D"/>
    <w:rsid w:val="008417CE"/>
    <w:rsid w:val="008420C7"/>
    <w:rsid w:val="008432A1"/>
    <w:rsid w:val="00844794"/>
    <w:rsid w:val="0085326D"/>
    <w:rsid w:val="00865ADD"/>
    <w:rsid w:val="008662CE"/>
    <w:rsid w:val="0086699F"/>
    <w:rsid w:val="00872EE7"/>
    <w:rsid w:val="00873094"/>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50FF3"/>
    <w:rsid w:val="00951605"/>
    <w:rsid w:val="00951915"/>
    <w:rsid w:val="009554D0"/>
    <w:rsid w:val="00966595"/>
    <w:rsid w:val="009739E7"/>
    <w:rsid w:val="00974BBC"/>
    <w:rsid w:val="00975241"/>
    <w:rsid w:val="00976729"/>
    <w:rsid w:val="00977937"/>
    <w:rsid w:val="00980F98"/>
    <w:rsid w:val="00981508"/>
    <w:rsid w:val="00987C87"/>
    <w:rsid w:val="009930C2"/>
    <w:rsid w:val="0099492D"/>
    <w:rsid w:val="009A0461"/>
    <w:rsid w:val="009A1E48"/>
    <w:rsid w:val="009A4ACA"/>
    <w:rsid w:val="009B5C4E"/>
    <w:rsid w:val="009C3A87"/>
    <w:rsid w:val="009C52C1"/>
    <w:rsid w:val="009D1E22"/>
    <w:rsid w:val="009D3E9D"/>
    <w:rsid w:val="009D4218"/>
    <w:rsid w:val="009E14DD"/>
    <w:rsid w:val="009E5D75"/>
    <w:rsid w:val="009E6500"/>
    <w:rsid w:val="009E7DC2"/>
    <w:rsid w:val="009F3368"/>
    <w:rsid w:val="009F398F"/>
    <w:rsid w:val="009F48AF"/>
    <w:rsid w:val="009F65EB"/>
    <w:rsid w:val="009F68F8"/>
    <w:rsid w:val="009F7ABC"/>
    <w:rsid w:val="00A05ED1"/>
    <w:rsid w:val="00A0751A"/>
    <w:rsid w:val="00A10E4A"/>
    <w:rsid w:val="00A116F5"/>
    <w:rsid w:val="00A250E7"/>
    <w:rsid w:val="00A2742E"/>
    <w:rsid w:val="00A30057"/>
    <w:rsid w:val="00A33C95"/>
    <w:rsid w:val="00A33F4E"/>
    <w:rsid w:val="00A36BAA"/>
    <w:rsid w:val="00A432AF"/>
    <w:rsid w:val="00A4498F"/>
    <w:rsid w:val="00A62AC4"/>
    <w:rsid w:val="00A6497E"/>
    <w:rsid w:val="00A71737"/>
    <w:rsid w:val="00A8491B"/>
    <w:rsid w:val="00A84F34"/>
    <w:rsid w:val="00A91879"/>
    <w:rsid w:val="00A97B1D"/>
    <w:rsid w:val="00AA6FD6"/>
    <w:rsid w:val="00AB04E5"/>
    <w:rsid w:val="00AB0CCE"/>
    <w:rsid w:val="00AB41DC"/>
    <w:rsid w:val="00AC1CB1"/>
    <w:rsid w:val="00AC7BD2"/>
    <w:rsid w:val="00AE506F"/>
    <w:rsid w:val="00AF5CAC"/>
    <w:rsid w:val="00AF6AA1"/>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6C21"/>
    <w:rsid w:val="00C403BF"/>
    <w:rsid w:val="00C462A6"/>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A66"/>
    <w:rsid w:val="00CA2EFF"/>
    <w:rsid w:val="00CB4656"/>
    <w:rsid w:val="00CC1EB6"/>
    <w:rsid w:val="00CC2524"/>
    <w:rsid w:val="00CD3971"/>
    <w:rsid w:val="00CD5FCC"/>
    <w:rsid w:val="00CE653E"/>
    <w:rsid w:val="00CF18AA"/>
    <w:rsid w:val="00CF2256"/>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238E"/>
    <w:rsid w:val="00D9380B"/>
    <w:rsid w:val="00D93B57"/>
    <w:rsid w:val="00D96305"/>
    <w:rsid w:val="00DA266E"/>
    <w:rsid w:val="00DB0B5F"/>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4CC9"/>
    <w:rsid w:val="00E57623"/>
    <w:rsid w:val="00E57C6A"/>
    <w:rsid w:val="00E57CC5"/>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09C3"/>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58A4"/>
    <w:rsid w:val="00FA711A"/>
    <w:rsid w:val="00FC4449"/>
    <w:rsid w:val="00FC7F00"/>
    <w:rsid w:val="00FD7E29"/>
    <w:rsid w:val="00FE0D2A"/>
    <w:rsid w:val="00FE1FDB"/>
    <w:rsid w:val="00FE4A3A"/>
    <w:rsid w:val="00FE7DE4"/>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1B3486"/>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paragraph" w:styleId="Heading4">
    <w:name w:val="heading 4"/>
    <w:basedOn w:val="Normal"/>
    <w:next w:val="Normal"/>
    <w:link w:val="Heading4Char"/>
    <w:uiPriority w:val="9"/>
    <w:semiHidden/>
    <w:unhideWhenUsed/>
    <w:qFormat/>
    <w:rsid w:val="003D08F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D08F1"/>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 w:type="character" w:customStyle="1" w:styleId="Heading4Char">
    <w:name w:val="Heading 4 Char"/>
    <w:basedOn w:val="DefaultParagraphFont"/>
    <w:link w:val="Heading4"/>
    <w:uiPriority w:val="9"/>
    <w:semiHidden/>
    <w:rsid w:val="003D08F1"/>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3D08F1"/>
    <w:rPr>
      <w:rFonts w:asciiTheme="majorHAnsi" w:eastAsiaTheme="majorEastAsia" w:hAnsiTheme="majorHAnsi" w:cstheme="majorBidi"/>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www.boe.es/buscar/act.php?id=BOE-A-2022-2168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216899"/>
    <w:rsid w:val="0028796C"/>
    <w:rsid w:val="002A144F"/>
    <w:rsid w:val="0033289E"/>
    <w:rsid w:val="0051719F"/>
    <w:rsid w:val="006619A5"/>
    <w:rsid w:val="00690D87"/>
    <w:rsid w:val="007921F0"/>
    <w:rsid w:val="008645FF"/>
    <w:rsid w:val="00994D19"/>
    <w:rsid w:val="009B3DC3"/>
    <w:rsid w:val="00A10E4A"/>
    <w:rsid w:val="00E11C8C"/>
    <w:rsid w:val="00F309C3"/>
    <w:rsid w:val="00FD7AA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Pages>
  <Words>3124</Words>
  <Characters>17810</Characters>
  <Application>Microsoft Office Word</Application>
  <DocSecurity>0</DocSecurity>
  <Lines>148</Lines>
  <Paragraphs>41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{TITULO_INFORME}</vt:lpstr>
      <vt:lpstr/>
    </vt:vector>
  </TitlesOfParts>
  <Company>{CLIENTE}</Company>
  <LinksUpToDate>false</LinksUpToDate>
  <CharactersWithSpaces>20893</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Francisca Martín Martínez</cp:lastModifiedBy>
  <cp:revision>2</cp:revision>
  <cp:lastPrinted>2026-07-06T15:47:00Z</cp:lastPrinted>
  <dcterms:created xsi:type="dcterms:W3CDTF">2026-07-06T15:52:00Z</dcterms:created>
  <dcterms:modified xsi:type="dcterms:W3CDTF">2026-07-06T15:52:00Z</dcterms:modified>
</cp:coreProperties>
</file>