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91F3"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2B54E79A" w14:textId="77777777"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7345CDFE" w14:textId="77777777" w:rsidR="009C52C1" w:rsidRDefault="009C52C1" w:rsidP="00C160A6">
      <w:pPr>
        <w:pStyle w:val="BodyText"/>
        <w:spacing w:line="360" w:lineRule="auto"/>
        <w:rPr>
          <w:rFonts w:ascii="Helvetica LT Std" w:hAnsi="Helvetica LT Std" w:cs="Calibri"/>
          <w:sz w:val="22"/>
        </w:rPr>
      </w:pPr>
    </w:p>
    <w:p w14:paraId="57FC7B50" w14:textId="77777777"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0C139770" w14:textId="77777777" w:rsidR="00F86FAE" w:rsidRDefault="00F86FAE" w:rsidP="00C160A6">
      <w:pPr>
        <w:pStyle w:val="BodyText"/>
        <w:spacing w:line="360" w:lineRule="auto"/>
        <w:rPr>
          <w:rFonts w:ascii="Helvetica LT Std" w:hAnsi="Helvetica LT Std" w:cs="Calibri"/>
          <w:sz w:val="22"/>
        </w:rPr>
      </w:pPr>
    </w:p>
    <w:p w14:paraId="66A56253"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71BA04A8" w14:textId="77777777" w:rsidR="00F86FAE" w:rsidRPr="00F86FAE" w:rsidRDefault="00F86FAE" w:rsidP="00F86FAE">
      <w:pPr>
        <w:pStyle w:val="BodyText"/>
        <w:spacing w:line="360" w:lineRule="auto"/>
        <w:rPr>
          <w:rFonts w:ascii="Helvetica LT Std" w:hAnsi="Helvetica LT Std" w:cs="Calibri"/>
          <w:sz w:val="22"/>
        </w:rPr>
      </w:pPr>
    </w:p>
    <w:p w14:paraId="0851A090"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3E896DA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393FB7F8" w14:textId="77777777" w:rsidR="00F86FAE" w:rsidRPr="00F86FAE" w:rsidRDefault="00F86FAE" w:rsidP="00F86FAE">
      <w:pPr>
        <w:pStyle w:val="BodyText"/>
        <w:spacing w:line="360" w:lineRule="auto"/>
        <w:rPr>
          <w:rFonts w:ascii="Helvetica LT Std" w:hAnsi="Helvetica LT Std" w:cs="Calibri"/>
          <w:sz w:val="22"/>
        </w:rPr>
      </w:pPr>
    </w:p>
    <w:p w14:paraId="5C816FF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territorios volcánicos canarios son considerados por el Consejo de Seguridad Nuclear (CSN) como «áreas identifcadas», por lo que requieren de especial atención pues pueden generar y favorecer la emisión de radiación ionizante producida por el radón. Por ello, las islas son consideradas de riesgo elevado.</w:t>
      </w:r>
    </w:p>
    <w:p w14:paraId="6CB0825C" w14:textId="77777777" w:rsidR="00F86FAE" w:rsidRPr="00F86FAE" w:rsidRDefault="00F86FAE" w:rsidP="00F86FAE">
      <w:pPr>
        <w:pStyle w:val="BodyText"/>
        <w:spacing w:line="360" w:lineRule="auto"/>
        <w:rPr>
          <w:rFonts w:ascii="Helvetica LT Std" w:hAnsi="Helvetica LT Std" w:cs="Calibri"/>
          <w:sz w:val="22"/>
        </w:rPr>
      </w:pPr>
    </w:p>
    <w:p w14:paraId="4A85EF65"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0F3DC5CB" w14:textId="77777777" w:rsidR="00F86FAE" w:rsidRPr="00F86FAE" w:rsidRDefault="00F86FAE" w:rsidP="00F86FAE">
      <w:pPr>
        <w:pStyle w:val="BodyText"/>
        <w:spacing w:line="360" w:lineRule="auto"/>
        <w:rPr>
          <w:rFonts w:ascii="Helvetica LT Std" w:hAnsi="Helvetica LT Std" w:cs="Calibri"/>
          <w:sz w:val="22"/>
        </w:rPr>
      </w:pPr>
    </w:p>
    <w:p w14:paraId="4FD9B6E4" w14:textId="77777777"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Becquerelios /m3 la dosis máxima permitida y la obligatoriedad de realizar mediciones específicas en los puestos de trabajo, en concreto</w:t>
      </w:r>
    </w:p>
    <w:p w14:paraId="6E4A20DE" w14:textId="77777777"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1, Articulo 2.c.3, establece la obligatoriedad de medir la exposición de trabajadores o miembros del público al radón en recintos cerrados.</w:t>
      </w:r>
    </w:p>
    <w:p w14:paraId="2CDBCEE6" w14:textId="77777777" w:rsidR="006105D3" w:rsidRDefault="006105D3" w:rsidP="00C160A6">
      <w:pPr>
        <w:pStyle w:val="BodyText"/>
        <w:spacing w:line="360" w:lineRule="auto"/>
        <w:rPr>
          <w:rFonts w:ascii="Helvetica LT Std" w:hAnsi="Helvetica LT Std" w:cs="Calibri"/>
          <w:sz w:val="22"/>
        </w:rPr>
      </w:pPr>
    </w:p>
    <w:p w14:paraId="079D16C3" w14:textId="77777777"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307EFC13" w14:textId="77777777" w:rsidR="006105D3" w:rsidRDefault="006105D3" w:rsidP="00C160A6">
      <w:pPr>
        <w:pStyle w:val="BodyText"/>
        <w:spacing w:line="360" w:lineRule="auto"/>
        <w:rPr>
          <w:rFonts w:ascii="Helvetica LT Std" w:hAnsi="Helvetica LT Std" w:cs="Calibri"/>
          <w:sz w:val="22"/>
        </w:rPr>
      </w:pPr>
    </w:p>
    <w:p w14:paraId="12993873" w14:textId="04D75D9C"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 xml:space="preserve">El municipio de {MUNICIPIO} está catalogado como municipio de actuación prioritaria, </w:t>
      </w:r>
      <w:r w:rsidR="006A05B9">
        <w:rPr>
          <w:rFonts w:ascii="Helvetica LT Std" w:hAnsi="Helvetica LT Std" w:cs="Calibri"/>
          <w:sz w:val="22"/>
        </w:rPr>
        <w:t>N</w:t>
      </w:r>
      <w:r>
        <w:rPr>
          <w:rFonts w:ascii="Helvetica LT Std" w:hAnsi="Helvetica LT Std" w:cs="Calibri"/>
          <w:sz w:val="22"/>
        </w:rPr>
        <w:t>ivel II, riesgo elevado.</w:t>
      </w:r>
    </w:p>
    <w:p w14:paraId="1B175B90" w14:textId="77777777" w:rsidR="0066391E" w:rsidRDefault="0066391E" w:rsidP="00F607EA">
      <w:pPr>
        <w:pStyle w:val="Heading1"/>
        <w:spacing w:line="360" w:lineRule="auto"/>
        <w:rPr>
          <w:rFonts w:ascii="Helvetica LT Std" w:hAnsi="Helvetica LT Std" w:cs="Arial"/>
        </w:rPr>
      </w:pPr>
    </w:p>
    <w:p w14:paraId="6A20573C" w14:textId="77777777"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75BF9447" w14:textId="77777777" w:rsidR="008F396E" w:rsidRPr="00BB4CBC" w:rsidRDefault="008F396E" w:rsidP="00F607EA">
      <w:pPr>
        <w:spacing w:line="360" w:lineRule="auto"/>
        <w:rPr>
          <w:rFonts w:ascii="Helvetica LT Std" w:hAnsi="Helvetica LT Std"/>
          <w:lang w:val="es-ES_tradnl"/>
        </w:rPr>
      </w:pPr>
    </w:p>
    <w:p w14:paraId="51A84ED2" w14:textId="77777777"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40E49ED6" w14:textId="77777777" w:rsidR="00167A66" w:rsidRPr="00BB4CBC" w:rsidRDefault="00167A66" w:rsidP="00F607EA">
      <w:pPr>
        <w:spacing w:line="360" w:lineRule="auto"/>
        <w:rPr>
          <w:rFonts w:ascii="Helvetica LT Std" w:hAnsi="Helvetica LT Std"/>
          <w:lang w:val="es-ES_tradnl"/>
        </w:rPr>
      </w:pPr>
    </w:p>
    <w:p w14:paraId="1A6AA090" w14:textId="306A94F9" w:rsidR="006A05B9"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Se utilizaron detectores pasivos de trazas nucleares de </w:t>
      </w:r>
      <w:r w:rsidR="006A05B9">
        <w:rPr>
          <w:rFonts w:ascii="Helvetica LT Std" w:hAnsi="Helvetica LT Std" w:cs="Calibri"/>
          <w:sz w:val="22"/>
        </w:rPr>
        <w:t xml:space="preserve">larga exposición que son los únicos reconocidos por la normativa española. Son además los recomendados </w:t>
      </w:r>
      <w:r>
        <w:rPr>
          <w:rFonts w:ascii="Helvetica LT Std" w:hAnsi="Helvetica LT Std" w:cs="Calibri"/>
          <w:sz w:val="22"/>
        </w:rPr>
        <w:t>por el Consejo de Seguridad Nuclear (CSN) y por la Organización Mundial de la Salud (OMS) para la medida de la concentración de gas radón en interiores</w:t>
      </w:r>
      <w:r w:rsidR="006A05B9">
        <w:rPr>
          <w:rFonts w:ascii="Helvetica LT Std" w:hAnsi="Helvetica LT Std" w:cs="Calibri"/>
          <w:sz w:val="22"/>
        </w:rPr>
        <w:t xml:space="preserve"> p</w:t>
      </w:r>
      <w:r w:rsidR="006A05B9" w:rsidRPr="006A05B9">
        <w:rPr>
          <w:rFonts w:ascii="Helvetica LT Std" w:hAnsi="Helvetica LT Std" w:cs="Calibri"/>
          <w:sz w:val="22"/>
        </w:rPr>
        <w:t xml:space="preserve">orque la concentración de radón </w:t>
      </w:r>
      <w:r w:rsidR="006A05B9">
        <w:rPr>
          <w:rFonts w:ascii="Helvetica LT Std" w:hAnsi="Helvetica LT Std" w:cs="Calibri"/>
          <w:sz w:val="22"/>
        </w:rPr>
        <w:t xml:space="preserve">está condicionada por distintos factores entre los que se incluyen </w:t>
      </w:r>
      <w:r w:rsidR="006A05B9" w:rsidRPr="006A05B9">
        <w:rPr>
          <w:rFonts w:ascii="Helvetica LT Std" w:hAnsi="Helvetica LT Std" w:cs="Calibri"/>
          <w:sz w:val="22"/>
        </w:rPr>
        <w:t>el clima, la presión atmosférica y los hábitos de ventilación</w:t>
      </w:r>
      <w:r w:rsidR="006A05B9">
        <w:rPr>
          <w:rFonts w:ascii="Helvetica LT Std" w:hAnsi="Helvetica LT Std" w:cs="Calibri"/>
          <w:sz w:val="22"/>
        </w:rPr>
        <w:t xml:space="preserve"> entre otros.</w:t>
      </w:r>
    </w:p>
    <w:p w14:paraId="654807CD" w14:textId="77777777" w:rsidR="006A05B9" w:rsidRDefault="006A05B9" w:rsidP="00F607EA">
      <w:pPr>
        <w:pStyle w:val="BodyText"/>
        <w:spacing w:line="360" w:lineRule="auto"/>
        <w:rPr>
          <w:rFonts w:ascii="Helvetica LT Std" w:hAnsi="Helvetica LT Std" w:cs="Calibri"/>
          <w:sz w:val="22"/>
        </w:rPr>
      </w:pPr>
    </w:p>
    <w:p w14:paraId="1DAE5BB3" w14:textId="6ADF2042"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Es</w:t>
      </w:r>
      <w:r w:rsidR="006A05B9">
        <w:rPr>
          <w:rFonts w:ascii="Helvetica LT Std" w:hAnsi="Helvetica LT Std" w:cs="Calibri"/>
          <w:sz w:val="22"/>
        </w:rPr>
        <w:t>tos detectores es</w:t>
      </w:r>
      <w:r>
        <w:rPr>
          <w:rFonts w:ascii="Helvetica LT Std" w:hAnsi="Helvetica LT Std" w:cs="Calibri"/>
          <w:sz w:val="22"/>
        </w:rPr>
        <w:t xml:space="preserve">tán compuestos </w:t>
      </w:r>
      <w:proofErr w:type="gramStart"/>
      <w:r>
        <w:rPr>
          <w:rFonts w:ascii="Helvetica LT Std" w:hAnsi="Helvetica LT Std" w:cs="Calibri"/>
          <w:sz w:val="22"/>
        </w:rPr>
        <w:t>por  una</w:t>
      </w:r>
      <w:proofErr w:type="gramEnd"/>
      <w:r>
        <w:rPr>
          <w:rFonts w:ascii="Helvetica LT Std" w:hAnsi="Helvetica LT Std" w:cs="Calibri"/>
          <w:sz w:val="22"/>
        </w:rPr>
        <w:t xml:space="preserve"> película sensible a la radiación ubicada dentro de una cápsula hecha de un plástico antiestático </w:t>
      </w:r>
      <w:proofErr w:type="spellStart"/>
      <w:r>
        <w:rPr>
          <w:rFonts w:ascii="Helvetica LT Std" w:hAnsi="Helvetica LT Std" w:cs="Calibri"/>
          <w:sz w:val="22"/>
        </w:rPr>
        <w:t>espec</w:t>
      </w:r>
      <w:r w:rsidR="006A05B9">
        <w:rPr>
          <w:rFonts w:ascii="Helvetica LT Std" w:hAnsi="Helvetica LT Std" w:cs="Calibri"/>
          <w:sz w:val="22"/>
        </w:rPr>
        <w:t>ífoco</w:t>
      </w:r>
      <w:proofErr w:type="spellEnd"/>
      <w:r>
        <w:rPr>
          <w:rFonts w:ascii="Helvetica LT Std" w:hAnsi="Helvetica LT Std" w:cs="Calibri"/>
          <w:sz w:val="22"/>
        </w:rPr>
        <w:t xml:space="preserve"> que permite la entrada del gas radón por difusión. Estos detectores son inocuos y no interfieren con las personas</w:t>
      </w:r>
      <w:r w:rsidR="006A05B9">
        <w:rPr>
          <w:rFonts w:ascii="Helvetica LT Std" w:hAnsi="Helvetica LT Std" w:cs="Calibri"/>
          <w:sz w:val="22"/>
        </w:rPr>
        <w:t xml:space="preserve"> ni animales. Pueden usarse en cualquier lugar, incluidas zonas donde se manipulan alimentos.</w:t>
      </w:r>
    </w:p>
    <w:p w14:paraId="4500A157" w14:textId="77777777" w:rsidR="00BB435E" w:rsidRPr="00BB4CBC" w:rsidRDefault="00BB435E" w:rsidP="00F607EA">
      <w:pPr>
        <w:pStyle w:val="BodyText"/>
        <w:spacing w:line="360" w:lineRule="auto"/>
        <w:rPr>
          <w:rFonts w:ascii="Helvetica LT Std" w:hAnsi="Helvetica LT Std" w:cs="Calibri"/>
          <w:sz w:val="22"/>
        </w:rPr>
      </w:pPr>
    </w:p>
    <w:p w14:paraId="443A731A" w14:textId="7A3761E1"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detectores utilizados fueron los denominados Radtrak³©</w:t>
      </w:r>
      <w:r w:rsidR="006A05B9">
        <w:rPr>
          <w:rFonts w:ascii="Helvetica LT Std" w:hAnsi="Helvetica LT Std" w:cs="Calibri"/>
          <w:sz w:val="22"/>
        </w:rPr>
        <w:t xml:space="preserve">, </w:t>
      </w:r>
      <w:r>
        <w:rPr>
          <w:rFonts w:ascii="Helvetica LT Std" w:hAnsi="Helvetica LT Std" w:cs="Calibri"/>
          <w:sz w:val="22"/>
        </w:rPr>
        <w:t>proporcionados por el laboratorio acreditado según la norma ISO/IEC 17025, R</w:t>
      </w:r>
      <w:r w:rsidR="006A05B9">
        <w:rPr>
          <w:rFonts w:ascii="Helvetica LT Std" w:hAnsi="Helvetica LT Std" w:cs="Calibri"/>
          <w:sz w:val="22"/>
        </w:rPr>
        <w:t>ADONOVA LABORATORIES</w:t>
      </w:r>
      <w:r>
        <w:rPr>
          <w:rFonts w:ascii="Helvetica LT Std" w:hAnsi="Helvetica LT Std" w:cs="Calibri"/>
          <w:sz w:val="22"/>
        </w:rPr>
        <w:t xml:space="preserve"> </w:t>
      </w:r>
      <w:r w:rsidR="00FC7F00">
        <w:rPr>
          <w:rFonts w:ascii="Helvetica LT Std" w:hAnsi="Helvetica LT Std" w:cs="Calibri"/>
          <w:sz w:val="22"/>
        </w:rPr>
        <w:t xml:space="preserve">AB ubicado en </w:t>
      </w:r>
      <w:proofErr w:type="spellStart"/>
      <w:r w:rsidR="00FC7F00">
        <w:rPr>
          <w:rFonts w:ascii="Helvetica LT Std" w:hAnsi="Helvetica LT Std" w:cs="Calibri"/>
          <w:sz w:val="22"/>
        </w:rPr>
        <w:t>Södra</w:t>
      </w:r>
      <w:proofErr w:type="spellEnd"/>
      <w:r w:rsidR="00FC7F00">
        <w:rPr>
          <w:rFonts w:ascii="Helvetica LT Std" w:hAnsi="Helvetica LT Std" w:cs="Calibri"/>
          <w:sz w:val="22"/>
        </w:rPr>
        <w:t xml:space="preserve"> </w:t>
      </w:r>
      <w:proofErr w:type="spellStart"/>
      <w:r w:rsidR="00FC7F00">
        <w:rPr>
          <w:rFonts w:ascii="Helvetica LT Std" w:hAnsi="Helvetica LT Std" w:cs="Calibri"/>
          <w:sz w:val="22"/>
        </w:rPr>
        <w:t>Depagatan</w:t>
      </w:r>
      <w:proofErr w:type="spellEnd"/>
      <w:r w:rsidR="00FC7F00">
        <w:rPr>
          <w:rFonts w:ascii="Helvetica LT Std" w:hAnsi="Helvetica LT Std" w:cs="Calibri"/>
          <w:sz w:val="22"/>
        </w:rPr>
        <w:t xml:space="preserve"> 2, 75 454 Uppsala, Suecia </w:t>
      </w:r>
      <w:r w:rsidR="00FC7F00" w:rsidRPr="00FC7F00">
        <w:rPr>
          <w:rFonts w:ascii="Helvetica LT Std" w:hAnsi="Helvetica LT Std" w:cs="Calibri"/>
          <w:sz w:val="22"/>
        </w:rPr>
        <w:t>a</w:t>
      </w:r>
      <w:r>
        <w:rPr>
          <w:rFonts w:ascii="Helvetica LT Std" w:hAnsi="Helvetica LT Std" w:cs="Calibri"/>
          <w:sz w:val="22"/>
        </w:rPr>
        <w:t xml:space="preserve">para ser posteriormente </w:t>
      </w:r>
      <w:r w:rsidR="00FC7F00">
        <w:rPr>
          <w:rFonts w:ascii="Helvetica LT Std" w:hAnsi="Helvetica LT Std" w:cs="Calibri"/>
          <w:sz w:val="22"/>
        </w:rPr>
        <w:t>analizados en su laboratorio</w:t>
      </w:r>
      <w:r>
        <w:rPr>
          <w:rFonts w:ascii="Helvetica LT Std" w:hAnsi="Helvetica LT Std" w:cs="Calibri"/>
          <w:sz w:val="22"/>
        </w:rPr>
        <w:t xml:space="preserve"> para la determinación de los resultados. </w:t>
      </w:r>
    </w:p>
    <w:p w14:paraId="115E86E3" w14:textId="77777777" w:rsidR="00BB435E" w:rsidRPr="00BB4CBC" w:rsidRDefault="00BB435E" w:rsidP="00F607EA">
      <w:pPr>
        <w:pStyle w:val="BodyText"/>
        <w:spacing w:line="360" w:lineRule="auto"/>
        <w:rPr>
          <w:rFonts w:ascii="Helvetica LT Std" w:hAnsi="Helvetica LT Std" w:cs="Calibri"/>
          <w:sz w:val="22"/>
        </w:rPr>
      </w:pPr>
    </w:p>
    <w:p w14:paraId="72696F27" w14:textId="21F94B87"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Este laboratorio está acreditado según la norma ISO 17025 y dispone además de certificación SWEDAC (equivalente a ENAC en España y válida en toda la Unión Europea). El CSN reconoce a </w:t>
      </w:r>
      <w:proofErr w:type="spellStart"/>
      <w:r>
        <w:rPr>
          <w:rFonts w:ascii="Helvetica LT Std" w:hAnsi="Helvetica LT Std" w:cs="Calibri"/>
          <w:sz w:val="22"/>
        </w:rPr>
        <w:t>R</w:t>
      </w:r>
      <w:r w:rsidR="005E5175">
        <w:rPr>
          <w:rFonts w:ascii="Helvetica LT Std" w:hAnsi="Helvetica LT Std" w:cs="Calibri"/>
          <w:sz w:val="22"/>
        </w:rPr>
        <w:t>adonova</w:t>
      </w:r>
      <w:proofErr w:type="spellEnd"/>
      <w:r w:rsidR="005E5175">
        <w:rPr>
          <w:rFonts w:ascii="Helvetica LT Std" w:hAnsi="Helvetica LT Std" w:cs="Calibri"/>
          <w:sz w:val="22"/>
        </w:rPr>
        <w:t xml:space="preserve"> </w:t>
      </w:r>
      <w:proofErr w:type="spellStart"/>
      <w:r w:rsidR="005E5175">
        <w:rPr>
          <w:rFonts w:ascii="Helvetica LT Std" w:hAnsi="Helvetica LT Std" w:cs="Calibri"/>
          <w:sz w:val="22"/>
        </w:rPr>
        <w:t>Laboratories</w:t>
      </w:r>
      <w:proofErr w:type="spellEnd"/>
      <w:r>
        <w:rPr>
          <w:rFonts w:ascii="Helvetica LT Std" w:hAnsi="Helvetica LT Std" w:cs="Calibri"/>
          <w:sz w:val="22"/>
        </w:rPr>
        <w:t xml:space="preserve"> AB como laboratorio acreditado en España para medir radón en aire. </w:t>
      </w:r>
    </w:p>
    <w:p w14:paraId="51DA3051" w14:textId="77777777" w:rsidR="00AB04E5" w:rsidRDefault="00AB04E5" w:rsidP="00F607EA">
      <w:pPr>
        <w:pStyle w:val="BodyText"/>
        <w:spacing w:line="360" w:lineRule="auto"/>
        <w:rPr>
          <w:rFonts w:ascii="Helvetica LT Std" w:hAnsi="Helvetica LT Std" w:cs="Calibri"/>
          <w:sz w:val="22"/>
        </w:rPr>
      </w:pPr>
    </w:p>
    <w:p w14:paraId="3A7C64B9" w14:textId="77777777" w:rsidR="00EA54C3" w:rsidRDefault="00BB435E" w:rsidP="00F607EA">
      <w:pPr>
        <w:pStyle w:val="BodyText"/>
        <w:spacing w:line="360" w:lineRule="auto"/>
        <w:rPr>
          <w:rFonts w:ascii="Helvetica LT Std" w:hAnsi="Helvetica LT Std" w:cs="Calibri"/>
          <w:sz w:val="22"/>
        </w:rPr>
      </w:pPr>
      <w:r>
        <w:rPr>
          <w:rFonts w:ascii="Helvetica LT Std" w:hAnsi="Helvetica LT Std" w:cs="Calibri"/>
          <w:sz w:val="22"/>
        </w:rPr>
        <w:t>ESTUDIOS DEL TERRENO S.L. es el distribuidor oficial de Radonova en las Islas Canarias.</w:t>
      </w:r>
    </w:p>
    <w:p w14:paraId="5130EA1E" w14:textId="77777777" w:rsidR="00696F5C" w:rsidRDefault="00696F5C" w:rsidP="00696F5C">
      <w:pPr>
        <w:pStyle w:val="Heading1"/>
        <w:spacing w:line="360" w:lineRule="auto"/>
        <w:ind w:left="425"/>
        <w:rPr>
          <w:rFonts w:ascii="Helvetica LT Std" w:hAnsi="Helvetica LT Std"/>
        </w:rPr>
      </w:pPr>
    </w:p>
    <w:p w14:paraId="5C9263BA"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7708C6CF" w14:textId="77777777" w:rsidR="00BB435E" w:rsidRPr="00BB4CBC" w:rsidRDefault="00BB435E" w:rsidP="00F607EA">
      <w:pPr>
        <w:pStyle w:val="BodyText"/>
        <w:spacing w:line="360" w:lineRule="auto"/>
        <w:rPr>
          <w:rFonts w:ascii="Helvetica LT Std" w:hAnsi="Helvetica LT Std" w:cs="Calibri"/>
          <w:sz w:val="22"/>
        </w:rPr>
      </w:pPr>
    </w:p>
    <w:p w14:paraId="26BFF726" w14:textId="77777777"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2D7941B3" w14:textId="77777777" w:rsidR="00BB435E" w:rsidRPr="00BB4CBC" w:rsidRDefault="00BB435E" w:rsidP="00F607EA">
      <w:pPr>
        <w:pStyle w:val="BodyText"/>
        <w:spacing w:line="360" w:lineRule="auto"/>
        <w:rPr>
          <w:rFonts w:ascii="Helvetica LT Std" w:hAnsi="Helvetica LT Std" w:cs="Calibri"/>
          <w:sz w:val="22"/>
        </w:rPr>
      </w:pPr>
    </w:p>
    <w:bookmarkEnd w:id="1"/>
    <w:p w14:paraId="1FDA4227" w14:textId="77777777"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132888A5" w14:textId="77777777" w:rsidR="008662CE" w:rsidRPr="00BB4CBC" w:rsidRDefault="008662CE" w:rsidP="00F607EA">
      <w:pPr>
        <w:pStyle w:val="BodyText"/>
        <w:spacing w:line="360" w:lineRule="auto"/>
        <w:rPr>
          <w:rFonts w:ascii="Helvetica LT Std" w:hAnsi="Helvetica LT Std" w:cs="Calibri"/>
          <w:sz w:val="22"/>
        </w:rPr>
      </w:pPr>
    </w:p>
    <w:p w14:paraId="150ED771" w14:textId="77777777"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756BD80C" w14:textId="77777777" w:rsidR="00BB435E" w:rsidRPr="00BB4CBC" w:rsidRDefault="00BB435E" w:rsidP="00F607EA">
      <w:pPr>
        <w:pStyle w:val="BodyText"/>
        <w:spacing w:line="360" w:lineRule="auto"/>
        <w:rPr>
          <w:rFonts w:ascii="Helvetica LT Std" w:hAnsi="Helvetica LT Std" w:cs="Calibri"/>
          <w:sz w:val="22"/>
        </w:rPr>
      </w:pPr>
    </w:p>
    <w:p w14:paraId="454C47EF"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A70742B" w14:textId="77777777" w:rsidR="00BB435E" w:rsidRPr="00BB4CBC" w:rsidRDefault="00BB435E" w:rsidP="00F607EA">
      <w:pPr>
        <w:pStyle w:val="BodyText"/>
        <w:spacing w:line="360" w:lineRule="auto"/>
        <w:rPr>
          <w:rFonts w:ascii="Helvetica LT Std" w:hAnsi="Helvetica LT Std" w:cs="Calibri"/>
          <w:sz w:val="22"/>
        </w:rPr>
      </w:pPr>
    </w:p>
    <w:p w14:paraId="67254F04" w14:textId="77777777"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Los medidores se colocaron el {FECHA_COLOCACION} y se retiraron el {FECHA_RETIRADA}. Fueron analizados en el laboratorio de Radonova en Uppsala (Suecia) el día {FECHA_ANALISIS}.</w:t>
      </w:r>
    </w:p>
    <w:p w14:paraId="1D552B8A" w14:textId="77777777" w:rsidR="00173EAE" w:rsidRDefault="00173EAE" w:rsidP="00F607EA">
      <w:pPr>
        <w:pStyle w:val="BodyText"/>
        <w:spacing w:line="360" w:lineRule="auto"/>
        <w:rPr>
          <w:rFonts w:ascii="Helvetica LT Std" w:hAnsi="Helvetica LT Std" w:cs="Arial"/>
        </w:rPr>
      </w:pPr>
    </w:p>
    <w:p w14:paraId="677413DD" w14:textId="77777777" w:rsidR="00D96305" w:rsidRPr="006105D3" w:rsidRDefault="00B91DE5" w:rsidP="006105D3">
      <w:pPr>
        <w:pStyle w:val="BodyText"/>
        <w:spacing w:line="360" w:lineRule="auto"/>
        <w:rPr>
          <w:rFonts w:ascii="Helvetica LT Std" w:hAnsi="Helvetica LT Std" w:cs="Arial"/>
          <w:b/>
          <w:bCs/>
        </w:rPr>
      </w:pPr>
      <w:r>
        <w:rPr>
          <w:rFonts w:ascii="Helvetica LT Std" w:hAnsi="Helvetica LT Std" w:cs="Arial"/>
          <w:b/>
          <w:bCs/>
        </w:rPr>
        <w:lastRenderedPageBreak/>
        <w:t>3. RESULTADOS DEL ENSAYO</w:t>
      </w:r>
    </w:p>
    <w:p w14:paraId="6B2AF11B" w14:textId="77777777" w:rsidR="006105D3" w:rsidRDefault="006105D3" w:rsidP="00F607EA">
      <w:pPr>
        <w:spacing w:line="360" w:lineRule="auto"/>
        <w:rPr>
          <w:rFonts w:ascii="Helvetica LT Std" w:hAnsi="Helvetica LT Std" w:cs="Calibri"/>
          <w:sz w:val="22"/>
        </w:rPr>
      </w:pPr>
    </w:p>
    <w:p w14:paraId="69708142" w14:textId="77777777"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Los resultados de los análisis de laboratorio proporcionados por Radonova Laboratories AB fueron los siguientes:</w:t>
      </w:r>
    </w:p>
    <w:p w14:paraId="1C1BA2C3" w14:textId="77777777" w:rsidR="00621F26" w:rsidRPr="00BB4CBC" w:rsidRDefault="00621F26" w:rsidP="00F607EA">
      <w:pPr>
        <w:spacing w:line="360" w:lineRule="auto"/>
        <w:rPr>
          <w:rFonts w:ascii="Helvetica LT Std" w:hAnsi="Helvetica LT Std"/>
          <w:lang w:val="es-ES_tradnl"/>
        </w:rPr>
      </w:pPr>
    </w:p>
    <w:tbl>
      <w:tblPr>
        <w:tblW w:w="87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8"/>
        <w:gridCol w:w="1688"/>
        <w:gridCol w:w="1848"/>
        <w:gridCol w:w="3228"/>
      </w:tblGrid>
      <w:tr w:rsidR="00865ADD" w:rsidRPr="00BB4CBC" w14:paraId="5C47E277" w14:textId="77777777" w:rsidTr="001162C0">
        <w:tc>
          <w:tcPr>
            <w:tcW w:w="1746" w:type="dxa"/>
            <w:vAlign w:val="center"/>
          </w:tcPr>
          <w:p w14:paraId="6B3FC7E3" w14:textId="77777777"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492" w:type="dxa"/>
            <w:vAlign w:val="center"/>
          </w:tcPr>
          <w:p w14:paraId="08E44063" w14:textId="77777777"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3124" w:type="dxa"/>
            <w:vAlign w:val="center"/>
          </w:tcPr>
          <w:p w14:paraId="3786BF40" w14:textId="77777777"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1587" w:type="dxa"/>
            <w:vAlign w:val="center"/>
          </w:tcPr>
          <w:p w14:paraId="4763D750" w14:textId="77777777"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7154B521" w14:textId="77777777" w:rsidTr="000F20DB">
        <w:trPr>
          <w:trHeight w:val="589"/>
        </w:trPr>
        <w:tc>
          <w:tcPr>
            <w:tcW w:w="1746" w:type="dxa"/>
            <w:vAlign w:val="center"/>
          </w:tcPr>
          <w:p w14:paraId="4CC7D73B" w14:textId="7777777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{#DETECTORES}{detector_numero} [Radtrak³®]</w:t>
            </w:r>
          </w:p>
        </w:tc>
        <w:tc>
          <w:tcPr>
            <w:tcW w:w="2492" w:type="dxa"/>
            <w:vAlign w:val="center"/>
          </w:tcPr>
          <w:p w14:paraId="2998D0C5"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{detector_periodo}</w:t>
            </w:r>
          </w:p>
        </w:tc>
        <w:tc>
          <w:tcPr>
            <w:tcW w:w="3124" w:type="dxa"/>
            <w:vAlign w:val="center"/>
          </w:tcPr>
          <w:p w14:paraId="668DE357"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{detector_ubicacion}</w:t>
            </w:r>
          </w:p>
        </w:tc>
        <w:tc>
          <w:tcPr>
            <w:tcW w:w="1587" w:type="dxa"/>
            <w:vAlign w:val="center"/>
          </w:tcPr>
          <w:p w14:paraId="6C576F46" w14:textId="77777777"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{detector_resultado}{/DETECTORES}</w:t>
            </w:r>
          </w:p>
        </w:tc>
      </w:tr>
    </w:tbl>
    <w:p w14:paraId="59B5B7FC" w14:textId="77777777" w:rsidR="0066391E" w:rsidRDefault="0066391E" w:rsidP="00F607EA">
      <w:pPr>
        <w:pStyle w:val="Heading1"/>
        <w:spacing w:line="360" w:lineRule="auto"/>
        <w:rPr>
          <w:rFonts w:ascii="Helvetica LT Std" w:hAnsi="Helvetica LT Std" w:cs="Arial"/>
        </w:rPr>
      </w:pPr>
    </w:p>
    <w:p w14:paraId="2B602846" w14:textId="77777777"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t>4. CONCLUSIONES</w:t>
      </w:r>
    </w:p>
    <w:p w14:paraId="22F5C439" w14:textId="77777777" w:rsidR="00C22D20" w:rsidRPr="00BB4CBC" w:rsidRDefault="00C22D20" w:rsidP="00F607EA">
      <w:pPr>
        <w:spacing w:line="360" w:lineRule="auto"/>
        <w:rPr>
          <w:rFonts w:ascii="Helvetica LT Std" w:hAnsi="Helvetica LT Std"/>
          <w:lang w:val="es-ES_tradnl"/>
        </w:rPr>
      </w:pPr>
    </w:p>
    <w:p w14:paraId="49757A6D" w14:textId="77777777"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3AE67885" w14:textId="77777777" w:rsidR="00A6497E" w:rsidRPr="00BB4CBC" w:rsidRDefault="00A6497E" w:rsidP="00F607EA">
      <w:pPr>
        <w:pStyle w:val="BodyText"/>
        <w:spacing w:line="360" w:lineRule="auto"/>
        <w:rPr>
          <w:rFonts w:ascii="Helvetica LT Std" w:hAnsi="Helvetica LT Std" w:cs="Calibri"/>
          <w:sz w:val="22"/>
        </w:rPr>
      </w:pPr>
    </w:p>
    <w:p w14:paraId="36AA66C0" w14:textId="77777777"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4234A4D3" w14:textId="77777777" w:rsidR="005A512A" w:rsidRDefault="005A512A" w:rsidP="00F86FAE">
      <w:pPr>
        <w:pStyle w:val="BodyText"/>
        <w:spacing w:line="360" w:lineRule="auto"/>
        <w:rPr>
          <w:rFonts w:ascii="Helvetica LT Std" w:hAnsi="Helvetica LT Std" w:cs="Calibri"/>
          <w:sz w:val="22"/>
        </w:rPr>
      </w:pPr>
    </w:p>
    <w:p w14:paraId="78A3FAA8" w14:textId="7777777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w:t>
      </w:r>
      <w:proofErr w:type="gramStart"/>
      <w:r>
        <w:rPr>
          <w:rFonts w:ascii="Helvetica LT Std" w:hAnsi="Helvetica LT Std" w:cs="Calibri"/>
          <w:sz w:val="22"/>
        </w:rPr>
        <w:t>que  la</w:t>
      </w:r>
      <w:proofErr w:type="gramEnd"/>
      <w:r>
        <w:rPr>
          <w:rFonts w:ascii="Helvetica LT Std" w:hAnsi="Helvetica LT Std" w:cs="Calibri"/>
          <w:sz w:val="22"/>
        </w:rPr>
        <w:t xml:space="preserve"> concentración de radón supera el nivel de referencia, la instrucción IS-33 del Consejo de Seguridad Nuclear requiere que se haga una estimación anual de las dosis efectivas individuales de las dosis recibidas por los trabajadores. </w:t>
      </w:r>
    </w:p>
    <w:p w14:paraId="1FFD2641" w14:textId="77777777" w:rsidR="006423A2" w:rsidRDefault="006423A2" w:rsidP="00F86FAE">
      <w:pPr>
        <w:pStyle w:val="BodyText"/>
        <w:spacing w:line="360" w:lineRule="auto"/>
        <w:rPr>
          <w:rFonts w:ascii="Helvetica LT Std" w:hAnsi="Helvetica LT Std" w:cs="Calibri"/>
          <w:sz w:val="22"/>
        </w:rPr>
      </w:pPr>
    </w:p>
    <w:p w14:paraId="26690907" w14:textId="7AEDEE01" w:rsidR="006423A2" w:rsidRDefault="006423A2" w:rsidP="00F86FAE">
      <w:pPr>
        <w:pStyle w:val="BodyText"/>
        <w:spacing w:line="360" w:lineRule="auto"/>
        <w:rPr>
          <w:rFonts w:ascii="Helvetica LT Std" w:hAnsi="Helvetica LT Std" w:cs="Calibri"/>
          <w:sz w:val="22"/>
        </w:rPr>
      </w:pPr>
      <w:r w:rsidRPr="006423A2">
        <w:rPr>
          <w:rFonts w:ascii="Helvetica LT Std" w:hAnsi="Helvetica LT Std" w:cs="Calibri"/>
          <w:sz w:val="22"/>
        </w:rPr>
        <w:t>Se han detectado valores superiores al nivel de referencia de 300 Bq/m³ en {UBICACION_CENTRO_CORTO} en {MUNICIPIO}. Los detectores ubicados en {</w:t>
      </w:r>
      <w:proofErr w:type="spellStart"/>
      <w:r w:rsidRPr="006423A2">
        <w:rPr>
          <w:rFonts w:ascii="Helvetica LT Std" w:hAnsi="Helvetica LT Std" w:cs="Calibri"/>
          <w:sz w:val="22"/>
        </w:rPr>
        <w:t>zonas_afectadas</w:t>
      </w:r>
      <w:proofErr w:type="spellEnd"/>
      <w:r w:rsidRPr="006423A2">
        <w:rPr>
          <w:rFonts w:ascii="Helvetica LT Std" w:hAnsi="Helvetica LT Std" w:cs="Calibri"/>
          <w:sz w:val="22"/>
        </w:rPr>
        <w:t>} han registrado concentraciones de {</w:t>
      </w:r>
      <w:proofErr w:type="spellStart"/>
      <w:r w:rsidRPr="006423A2">
        <w:rPr>
          <w:rFonts w:ascii="Helvetica LT Std" w:hAnsi="Helvetica LT Std" w:cs="Calibri"/>
          <w:sz w:val="22"/>
        </w:rPr>
        <w:t>valores_afectados</w:t>
      </w:r>
      <w:proofErr w:type="spellEnd"/>
      <w:r w:rsidRPr="006423A2">
        <w:rPr>
          <w:rFonts w:ascii="Helvetica LT Std" w:hAnsi="Helvetica LT Std" w:cs="Calibri"/>
          <w:sz w:val="22"/>
        </w:rPr>
        <w:t xml:space="preserve">}, superando el </w:t>
      </w:r>
      <w:r w:rsidRPr="006423A2">
        <w:rPr>
          <w:rFonts w:ascii="Helvetica LT Std" w:hAnsi="Helvetica LT Std" w:cs="Calibri"/>
          <w:sz w:val="22"/>
        </w:rPr>
        <w:lastRenderedPageBreak/>
        <w:t>límite establecido por el Real Decreto 1029/2022 de 20 de diciembre de 2022 y por la Instrucción IS-47 del CSN.</w:t>
      </w:r>
    </w:p>
    <w:p w14:paraId="45D3EE3A" w14:textId="77777777" w:rsidR="003374C6" w:rsidRDefault="003374C6" w:rsidP="00F86FAE">
      <w:pPr>
        <w:pStyle w:val="BodyText"/>
        <w:spacing w:line="360" w:lineRule="auto"/>
        <w:rPr>
          <w:rFonts w:ascii="Helvetica LT Std" w:hAnsi="Helvetica LT Std" w:cs="Calibri"/>
          <w:sz w:val="22"/>
        </w:rPr>
      </w:pPr>
    </w:p>
    <w:p w14:paraId="32F9D9FF" w14:textId="70F19437" w:rsidR="0072409B" w:rsidRDefault="006423A2">
      <w:pPr>
        <w:pStyle w:val="BodyText"/>
        <w:spacing w:line="360" w:lineRule="auto"/>
        <w:rPr>
          <w:rFonts w:ascii="Helvetica LT Std" w:hAnsi="Helvetica LT Std" w:cs="Calibri"/>
          <w:sz w:val="22"/>
        </w:rPr>
      </w:pPr>
      <w:r w:rsidRPr="006423A2">
        <w:rPr>
          <w:rFonts w:ascii="Helvetica LT Std" w:hAnsi="Helvetica LT Std" w:cs="Calibri"/>
          <w:sz w:val="22"/>
        </w:rPr>
        <w:t>El valor más alto registrado fue de {</w:t>
      </w:r>
      <w:proofErr w:type="spellStart"/>
      <w:r w:rsidRPr="006423A2">
        <w:rPr>
          <w:rFonts w:ascii="Helvetica LT Std" w:hAnsi="Helvetica LT Std" w:cs="Calibri"/>
          <w:sz w:val="22"/>
        </w:rPr>
        <w:t>valor_maximo</w:t>
      </w:r>
      <w:proofErr w:type="spellEnd"/>
      <w:r w:rsidRPr="006423A2">
        <w:rPr>
          <w:rFonts w:ascii="Helvetica LT Std" w:hAnsi="Helvetica LT Std" w:cs="Calibri"/>
          <w:sz w:val="22"/>
        </w:rPr>
        <w:t>}, superando el nivel de referencia de 300 Bq/m³. Se requiere la adopción de medidas de remediación en {</w:t>
      </w:r>
      <w:proofErr w:type="spellStart"/>
      <w:r w:rsidRPr="006423A2">
        <w:rPr>
          <w:rFonts w:ascii="Helvetica LT Std" w:hAnsi="Helvetica LT Std" w:cs="Calibri"/>
          <w:sz w:val="22"/>
        </w:rPr>
        <w:t>zonas_afectadas</w:t>
      </w:r>
      <w:proofErr w:type="spellEnd"/>
      <w:r w:rsidRPr="006423A2">
        <w:rPr>
          <w:rFonts w:ascii="Helvetica LT Std" w:hAnsi="Helvetica LT Std" w:cs="Calibri"/>
          <w:sz w:val="22"/>
        </w:rPr>
        <w:t>} y, conforme a la Instrucción IS-33 del Consejo de Seguridad Nuclear, se deberá realizar una estimación anual de las dosis efectivas individuales recibidas por los trabajadores expuestos. Se recomienda contactar con un servicio de protección radiológica para la evaluación dosimétrica y la implementación de medidas correctoras.</w:t>
      </w:r>
    </w:p>
    <w:p w14:paraId="0CD3D81E" w14:textId="77777777" w:rsidR="006423A2" w:rsidRDefault="006423A2">
      <w:pPr>
        <w:pStyle w:val="BodyText"/>
        <w:spacing w:line="360" w:lineRule="auto"/>
        <w:rPr>
          <w:rFonts w:ascii="Helvetica LT Std" w:hAnsi="Helvetica LT Std" w:cs="Calibri"/>
          <w:sz w:val="22"/>
        </w:rPr>
      </w:pPr>
    </w:p>
    <w:p w14:paraId="362CDBA9" w14:textId="77777777" w:rsidR="0072409B" w:rsidRDefault="001B5D1A">
      <w:pPr>
        <w:pStyle w:val="Heading1"/>
        <w:spacing w:line="360" w:lineRule="auto"/>
        <w:rPr>
          <w:rFonts w:ascii="Helvetica LT Std" w:hAnsi="Helvetica LT Std" w:cs="Arial"/>
        </w:rPr>
      </w:pPr>
      <w:r>
        <w:rPr>
          <w:rFonts w:ascii="Helvetica LT Std" w:hAnsi="Helvetica LT Std" w:cs="Arial"/>
        </w:rPr>
        <w:t>5. PLAN DE ACTUACIÓN ANTE LA SUPERACIÓN DEL NIVEL DE REFERENCIA</w:t>
      </w:r>
    </w:p>
    <w:p w14:paraId="71F3BBEE" w14:textId="77777777" w:rsidR="0072409B" w:rsidRDefault="0072409B">
      <w:pPr>
        <w:pStyle w:val="BodyText"/>
        <w:spacing w:line="360" w:lineRule="auto"/>
        <w:rPr>
          <w:rFonts w:ascii="Helvetica LT Std" w:hAnsi="Helvetica LT Std" w:cs="Calibri"/>
          <w:sz w:val="22"/>
        </w:rPr>
      </w:pPr>
    </w:p>
    <w:p w14:paraId="2E7D9BFD"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De acuerdo con los resultados del presente estudio, en {ZONAS_AFECTADAS} se han registrado concentraciones de gas radón que superan, en promedio, el nivel de referencia de 300 Bq/m³ establecido por el Real Decreto 1029/2022 y la Instrucción IS-47 del CSN. {DETALLE_SUPERACIONES} El valor más elevado registrado fue de {VALOR_MAXIMO}.</w:t>
      </w:r>
    </w:p>
    <w:p w14:paraId="23D5FC6C"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 superación del nivel de referencia no implica una prohibición de uso del centro de trabajo, pero sí activa la obligación legal de actuar para reducir las concentraciones de radón y/o la exposición de las personas trabajadoras, conforme al procedimiento que se describe en los apartados siguientes.</w:t>
      </w:r>
    </w:p>
    <w:p w14:paraId="0A9DE5E4" w14:textId="77777777" w:rsidR="00873094" w:rsidRDefault="00873094">
      <w:pPr>
        <w:pStyle w:val="BodyText"/>
        <w:spacing w:line="360" w:lineRule="auto"/>
        <w:rPr>
          <w:rFonts w:ascii="Helvetica LT Std" w:hAnsi="Helvetica LT Std" w:cs="Calibri"/>
          <w:sz w:val="22"/>
        </w:rPr>
      </w:pPr>
    </w:p>
    <w:p w14:paraId="634187F6"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5.1. Marco normativo de actuación</w:t>
      </w:r>
    </w:p>
    <w:p w14:paraId="6409C234"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El artículo 75.2 del Real Decreto 1029/2022 (Reglamento sobre protección de la salud contra los riesgos derivados de la exposición a las radiaciones ionizantes, RPSI) obliga al titular de la actividad laboral a tomar las medidas oportunas para reducir las concentraciones y/o la exposición al radón, de acuerdo con el principio de optimización, y a revaluar posteriormente el promedio anual de concentración de radón en aire. El artículo 75.3 dispone que, si pese a dichas medidas se mantiene la superación, el titular queda sujeto al cumplimiento del artículo 19 del mismo reglamento (estimación de dosis, clasificación de trabajadores y de zonas, y medidas de protección radiológica).</w:t>
      </w:r>
    </w:p>
    <w:p w14:paraId="35C3567D" w14:textId="77777777" w:rsidR="00873094" w:rsidRDefault="00873094">
      <w:pPr>
        <w:pStyle w:val="BodyText"/>
        <w:spacing w:line="360" w:lineRule="auto"/>
        <w:rPr>
          <w:rFonts w:ascii="Helvetica LT Std" w:hAnsi="Helvetica LT Std" w:cs="Calibri"/>
          <w:sz w:val="22"/>
        </w:rPr>
      </w:pPr>
    </w:p>
    <w:p w14:paraId="3A7367FA" w14:textId="77777777" w:rsidR="00873094"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 xml:space="preserve">El Real Decreto 1217/2024 (Reglamento sobre instalaciones nucleares y radiactivas y otras actividades relacionadas con la exposición a las radiaciones ionizantes, RINR) regula en sus artículos 103 y 104 el régimen de declaración de estas actividades laborales ante el órgano competente de la comunidad autónoma, los estudios adicionales a presentar al Consejo de Seguridad Nuclear y la vigilancia de las dosis. </w:t>
      </w:r>
    </w:p>
    <w:p w14:paraId="64C61622" w14:textId="77777777" w:rsidR="00873094" w:rsidRDefault="00873094">
      <w:pPr>
        <w:pStyle w:val="BodyText"/>
        <w:spacing w:line="360" w:lineRule="auto"/>
        <w:rPr>
          <w:rFonts w:ascii="Helvetica LT Std" w:hAnsi="Helvetica LT Std" w:cs="Calibri"/>
          <w:sz w:val="22"/>
        </w:rPr>
      </w:pPr>
    </w:p>
    <w:p w14:paraId="656C3CEC" w14:textId="7868BA75"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Instrucciones IS-33 e IS-47 del CSN, de obligado cumplimiento, establecen respectivamente los criterios radiológicos de protección frente a la radiación natural y la metodología de los estudios de medición y de su actualización. La sección DB HS6 del Código Técnico de la Edificación (introducida por el Real Decreto 732/2019) define las soluciones constructivas de protección frente al radón, y la Nota Técnica de Prevención NTP 1228 del INSST (2025) desarrolla la gestión preventiva del riesgo. Todo ello en el marco del Plan Nacional contra el Radón y de la Ley 31/1995, de Prevención de Riesgos Laborales, que exige integrar los resultados de estos estudios en la evaluación de riesgos del centro de trabajo.</w:t>
      </w:r>
    </w:p>
    <w:p w14:paraId="6660AA65" w14:textId="77777777" w:rsidR="00873094" w:rsidRDefault="00873094">
      <w:pPr>
        <w:pStyle w:val="BodyText"/>
        <w:spacing w:line="360" w:lineRule="auto"/>
        <w:rPr>
          <w:rFonts w:ascii="Helvetica LT Std" w:hAnsi="Helvetica LT Std" w:cs="Calibri"/>
          <w:sz w:val="22"/>
        </w:rPr>
      </w:pPr>
    </w:p>
    <w:p w14:paraId="046A297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5.2. Fases de actuación</w:t>
      </w:r>
    </w:p>
    <w:p w14:paraId="77C66EA2"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1. Diagnóstico de las vías de entrada: </w:t>
      </w:r>
      <w:r>
        <w:rPr>
          <w:rFonts w:ascii="Helvetica LT Std" w:hAnsi="Helvetica LT Std" w:cs="Calibri"/>
          <w:sz w:val="22"/>
        </w:rPr>
        <w:t>inspección técnica de las zonas afectadas para identificar las vías de entrada del gas (grietas y fisuras en soleras y muros en contacto con el terreno, juntas constructivas, encuentros suelo-pared, pasos de instalaciones, arquetas y canalizaciones) y los factores que favorecen su acumulación (régimen de ventilación, depresiones generadas por equipos de climatización o extracción). Este diagnóstico puede apoyarse en mediciones de corta duración con monitores en continuo para localizar focos y caracterizar patrones temporales.</w:t>
      </w:r>
    </w:p>
    <w:p w14:paraId="51C27050" w14:textId="77777777" w:rsidR="00873094" w:rsidRDefault="00873094" w:rsidP="00873094">
      <w:pPr>
        <w:pStyle w:val="ListParagraph"/>
        <w:spacing w:line="360" w:lineRule="auto"/>
        <w:rPr>
          <w:rFonts w:ascii="Helvetica LT Std" w:hAnsi="Helvetica LT Std" w:cs="Calibri"/>
          <w:sz w:val="22"/>
        </w:rPr>
      </w:pPr>
    </w:p>
    <w:p w14:paraId="128F2EF8"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2. Implantación de medidas correctoras: </w:t>
      </w:r>
      <w:r>
        <w:rPr>
          <w:rFonts w:ascii="Helvetica LT Std" w:hAnsi="Helvetica LT Std" w:cs="Calibri"/>
          <w:sz w:val="22"/>
        </w:rPr>
        <w:t>selección y ejecución de las medidas de remediación descritas en el apartado 6, comenzando, conforme al principio de optimización, por las de menor coste y complejidad (sellado de vías de entrada, mejora de la ventilación) y escalando a soluciones de mayor eficacia (despresurización del terreno, barreras de protección) si resultara necesario. Mientras se ejecutan, pueden adoptarse medidas administrativas transitorias de reducción de la exposición (apartado 6.3).</w:t>
      </w:r>
    </w:p>
    <w:p w14:paraId="2295E9A7" w14:textId="77777777" w:rsidR="00873094" w:rsidRPr="00873094" w:rsidRDefault="00873094" w:rsidP="00873094">
      <w:pPr>
        <w:pStyle w:val="ListParagraph"/>
        <w:rPr>
          <w:rFonts w:ascii="Helvetica LT Std" w:hAnsi="Helvetica LT Std" w:cs="Calibri"/>
          <w:sz w:val="22"/>
        </w:rPr>
      </w:pPr>
    </w:p>
    <w:p w14:paraId="1A09AC26"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lastRenderedPageBreak/>
        <w:t xml:space="preserve">Fase 3. Medición de comprobación: </w:t>
      </w:r>
      <w:r>
        <w:rPr>
          <w:rFonts w:ascii="Helvetica LT Std" w:hAnsi="Helvetica LT Std" w:cs="Calibri"/>
          <w:sz w:val="22"/>
        </w:rPr>
        <w:t>una vez implantadas las medidas, revaluación del promedio anual de concentración de radón en las zonas afectadas conforme a la Instrucción IS-47: detectores pasivos suministrados y analizados por un laboratorio acreditado según la norma UNE-EN ISO/IEC 17025, con un periodo de exposición mínimo de tres meses comprendido entre el 1 de octubre y el 31 de mayo (o a lo largo de un año natural), manteniendo los sistemas de protección instalados en su régimen habitual de funcionamiento.</w:t>
      </w:r>
    </w:p>
    <w:p w14:paraId="13A43619" w14:textId="77777777" w:rsidR="00873094" w:rsidRPr="00873094" w:rsidRDefault="00873094" w:rsidP="00873094">
      <w:pPr>
        <w:pStyle w:val="ListParagraph"/>
        <w:rPr>
          <w:rFonts w:ascii="Helvetica LT Std" w:hAnsi="Helvetica LT Std" w:cs="Calibri"/>
          <w:sz w:val="22"/>
        </w:rPr>
      </w:pPr>
    </w:p>
    <w:p w14:paraId="001DEF4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4. Actuaciones adicionales si persiste la superación: </w:t>
      </w:r>
      <w:r>
        <w:rPr>
          <w:rFonts w:ascii="Helvetica LT Std" w:hAnsi="Helvetica LT Std" w:cs="Calibri"/>
          <w:sz w:val="22"/>
        </w:rPr>
        <w:t>si tras las medidas correctoras se mantuviera la superación del nivel de referencia en alguna zona, serán de aplicación las obligaciones descritas en el apartado 7.4 (estimación de dosis, declaración ante la Administración y, en su caso, medidas de protección radiológica).</w:t>
      </w:r>
    </w:p>
    <w:p w14:paraId="1771E0A6" w14:textId="77777777" w:rsidR="0072409B" w:rsidRDefault="0072409B">
      <w:pPr>
        <w:pStyle w:val="BodyText"/>
        <w:spacing w:line="360" w:lineRule="auto"/>
        <w:rPr>
          <w:rFonts w:ascii="Helvetica LT Std" w:hAnsi="Helvetica LT Std" w:cs="Calibri"/>
          <w:sz w:val="22"/>
        </w:rPr>
      </w:pPr>
    </w:p>
    <w:p w14:paraId="06C3EFF7" w14:textId="77777777" w:rsidR="0072409B" w:rsidRDefault="001B5D1A">
      <w:pPr>
        <w:pStyle w:val="Heading1"/>
        <w:spacing w:line="360" w:lineRule="auto"/>
        <w:rPr>
          <w:rFonts w:ascii="Helvetica LT Std" w:hAnsi="Helvetica LT Std" w:cs="Arial"/>
        </w:rPr>
      </w:pPr>
      <w:r>
        <w:rPr>
          <w:rFonts w:ascii="Helvetica LT Std" w:hAnsi="Helvetica LT Std" w:cs="Arial"/>
        </w:rPr>
        <w:t>6. MEDIDAS DE REMEDIACIÓN</w:t>
      </w:r>
    </w:p>
    <w:p w14:paraId="25D9864B" w14:textId="77777777" w:rsidR="0072409B" w:rsidRDefault="0072409B">
      <w:pPr>
        <w:pStyle w:val="BodyText"/>
        <w:spacing w:line="360" w:lineRule="auto"/>
        <w:rPr>
          <w:rFonts w:ascii="Helvetica LT Std" w:hAnsi="Helvetica LT Std" w:cs="Calibri"/>
          <w:sz w:val="22"/>
        </w:rPr>
      </w:pPr>
    </w:p>
    <w:p w14:paraId="2501B3A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medidas de remediación están destinadas, en primer lugar, a evitar la entrada del radón en el lugar de trabajo y, en segundo lugar, a evitar su acumulación. El catálogo que sigue se basa en la sección DB HS6 del Código Técnico de la Edificación, en su Guía de rehabilitación frente al radón y en la NTP 1228 del INSST. La eficacia de cada solución depende de las vías de entrada existentes y de las características constructivas del edificio, por lo que es habitual combinar varias de ellas.</w:t>
      </w:r>
    </w:p>
    <w:p w14:paraId="36343E5D" w14:textId="77777777" w:rsidR="00873094" w:rsidRDefault="00873094">
      <w:pPr>
        <w:pStyle w:val="BodyText"/>
        <w:spacing w:line="360" w:lineRule="auto"/>
        <w:rPr>
          <w:rFonts w:ascii="Helvetica LT Std" w:hAnsi="Helvetica LT Std" w:cs="Calibri"/>
          <w:sz w:val="22"/>
        </w:rPr>
      </w:pPr>
    </w:p>
    <w:p w14:paraId="4D5714B8"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6.1. Medidas de aislamiento frente al terreno</w:t>
      </w:r>
    </w:p>
    <w:p w14:paraId="450F13D6" w14:textId="77777777" w:rsidR="00873094" w:rsidRDefault="00873094">
      <w:pPr>
        <w:pStyle w:val="BodyText"/>
        <w:spacing w:line="360" w:lineRule="auto"/>
        <w:rPr>
          <w:rFonts w:ascii="Helvetica LT Std" w:hAnsi="Helvetica LT Std" w:cs="Calibri"/>
          <w:b/>
          <w:bCs/>
          <w:sz w:val="22"/>
        </w:rPr>
      </w:pPr>
    </w:p>
    <w:p w14:paraId="20C2B00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Sellado de las vías de entrada: </w:t>
      </w:r>
      <w:r>
        <w:rPr>
          <w:rFonts w:ascii="Helvetica LT Std" w:hAnsi="Helvetica LT Std" w:cs="Calibri"/>
          <w:sz w:val="22"/>
        </w:rPr>
        <w:t>sellado de grietas, fisuras, juntas de soleras y muros, encuentros suelo-pared y pasos de instalaciones (tuberías, arquetas, canalizaciones) mediante masillas elásticas y morteros adecuados. Es la actuación de menor coste y suele ser el primer paso, aunque rara vez resulta suficiente por sí sola ante superaciones significativas.</w:t>
      </w:r>
    </w:p>
    <w:p w14:paraId="3DAB2ABD" w14:textId="77777777" w:rsidR="00873094" w:rsidRPr="00873094" w:rsidRDefault="00873094" w:rsidP="00873094">
      <w:pPr>
        <w:pStyle w:val="ListParagraph"/>
        <w:spacing w:line="360" w:lineRule="auto"/>
        <w:rPr>
          <w:rFonts w:ascii="Helvetica LT Std" w:hAnsi="Helvetica LT Std" w:cs="Calibri"/>
          <w:sz w:val="22"/>
        </w:rPr>
      </w:pPr>
    </w:p>
    <w:p w14:paraId="67E71C68" w14:textId="373D1714"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Barrera de protección frente al radón: </w:t>
      </w:r>
      <w:r>
        <w:rPr>
          <w:rFonts w:ascii="Helvetica LT Std" w:hAnsi="Helvetica LT Std" w:cs="Calibri"/>
          <w:sz w:val="22"/>
        </w:rPr>
        <w:t>elemento continuo que limita el paso de los gases provenientes del terreno. El CTE DB HS6 considera válidas las barreras tipo lámina con un coeficiente de difusión frente al radón inferior a 10</w:t>
      </w:r>
      <w:r>
        <w:rPr>
          <w:rFonts w:ascii="Helvetica LT Std" w:hAnsi="Helvetica LT Std" w:cs="Calibri"/>
          <w:sz w:val="22"/>
          <w:vertAlign w:val="superscript"/>
        </w:rPr>
        <w:t>-11</w:t>
      </w:r>
      <w:r>
        <w:rPr>
          <w:rFonts w:ascii="Helvetica LT Std" w:hAnsi="Helvetica LT Std" w:cs="Calibri"/>
          <w:sz w:val="22"/>
        </w:rPr>
        <w:t xml:space="preserve"> m²/s y un </w:t>
      </w:r>
      <w:r>
        <w:rPr>
          <w:rFonts w:ascii="Helvetica LT Std" w:hAnsi="Helvetica LT Std" w:cs="Calibri"/>
          <w:sz w:val="22"/>
        </w:rPr>
        <w:lastRenderedPageBreak/>
        <w:t>espesor mínimo de 2 mm, con continuidad garantizada y juntas, encuentros y perforaciones selladas. En edificios existentes su instalación suele requerir intervención sobre la solera.</w:t>
      </w:r>
    </w:p>
    <w:p w14:paraId="06063572" w14:textId="77777777" w:rsidR="00873094" w:rsidRDefault="00873094" w:rsidP="00873094">
      <w:pPr>
        <w:pStyle w:val="ListParagraph"/>
        <w:spacing w:line="360" w:lineRule="auto"/>
        <w:rPr>
          <w:rFonts w:ascii="Helvetica LT Std" w:hAnsi="Helvetica LT Std" w:cs="Calibri"/>
          <w:sz w:val="22"/>
        </w:rPr>
      </w:pPr>
    </w:p>
    <w:p w14:paraId="2839C04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Puertas estancas: </w:t>
      </w:r>
      <w:r>
        <w:rPr>
          <w:rFonts w:ascii="Helvetica LT Std" w:hAnsi="Helvetica LT Std" w:cs="Calibri"/>
          <w:sz w:val="22"/>
        </w:rPr>
        <w:t>instalación de puertas estancas entre los locales ocupados y los espacios en contacto con el terreno (sótanos, cuartos de instalaciones, huecos de ascensor).</w:t>
      </w:r>
    </w:p>
    <w:p w14:paraId="65382EC8" w14:textId="77777777" w:rsidR="00873094" w:rsidRPr="00873094" w:rsidRDefault="00873094" w:rsidP="00873094">
      <w:pPr>
        <w:pStyle w:val="ListParagraph"/>
        <w:rPr>
          <w:rFonts w:ascii="Helvetica LT Std" w:hAnsi="Helvetica LT Std" w:cs="Calibri"/>
          <w:sz w:val="22"/>
        </w:rPr>
      </w:pPr>
    </w:p>
    <w:p w14:paraId="357BB0BE" w14:textId="77777777" w:rsidR="00873094" w:rsidRDefault="00873094" w:rsidP="00873094">
      <w:pPr>
        <w:spacing w:line="360" w:lineRule="auto"/>
        <w:rPr>
          <w:rFonts w:ascii="Helvetica LT Std" w:hAnsi="Helvetica LT Std" w:cs="Calibri"/>
          <w:sz w:val="22"/>
        </w:rPr>
      </w:pPr>
    </w:p>
    <w:p w14:paraId="1D531A10" w14:textId="77777777" w:rsidR="00873094" w:rsidRDefault="00873094" w:rsidP="00873094">
      <w:pPr>
        <w:spacing w:line="360" w:lineRule="auto"/>
        <w:rPr>
          <w:rFonts w:ascii="Helvetica LT Std" w:hAnsi="Helvetica LT Std" w:cs="Calibri"/>
          <w:sz w:val="22"/>
        </w:rPr>
      </w:pPr>
    </w:p>
    <w:p w14:paraId="745F402E" w14:textId="77777777" w:rsidR="00873094" w:rsidRPr="00873094" w:rsidRDefault="00873094" w:rsidP="00873094">
      <w:pPr>
        <w:spacing w:line="360" w:lineRule="auto"/>
        <w:rPr>
          <w:rFonts w:ascii="Helvetica LT Std" w:hAnsi="Helvetica LT Std" w:cs="Calibri"/>
          <w:sz w:val="22"/>
        </w:rPr>
      </w:pPr>
    </w:p>
    <w:p w14:paraId="4A91953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6.2. Medidas de ventilación y extracción</w:t>
      </w:r>
    </w:p>
    <w:p w14:paraId="55849FC1" w14:textId="77777777" w:rsidR="00873094" w:rsidRDefault="00873094">
      <w:pPr>
        <w:pStyle w:val="BodyText"/>
        <w:spacing w:line="360" w:lineRule="auto"/>
        <w:rPr>
          <w:rFonts w:ascii="Helvetica LT Std" w:hAnsi="Helvetica LT Std" w:cs="Calibri"/>
          <w:b/>
          <w:bCs/>
          <w:sz w:val="22"/>
        </w:rPr>
      </w:pPr>
    </w:p>
    <w:p w14:paraId="4E15643F"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Mejora de la ventilación del local: </w:t>
      </w:r>
      <w:r>
        <w:rPr>
          <w:rFonts w:ascii="Helvetica LT Std" w:hAnsi="Helvetica LT Std" w:cs="Calibri"/>
          <w:sz w:val="22"/>
        </w:rPr>
        <w:t>incremento de la ventilación natural o instalación/ajuste de ventilación mecánica que aumente la tasa de renovación de aire, incluida la posibilidad de mantener el local en ligera sobrepresión para dificultar la entrada del aire del terreno.</w:t>
      </w:r>
    </w:p>
    <w:p w14:paraId="5AC3F9F6" w14:textId="77777777" w:rsidR="00873094" w:rsidRDefault="00873094" w:rsidP="00873094">
      <w:pPr>
        <w:pStyle w:val="ListParagraph"/>
        <w:spacing w:line="360" w:lineRule="auto"/>
        <w:rPr>
          <w:rFonts w:ascii="Helvetica LT Std" w:hAnsi="Helvetica LT Std" w:cs="Calibri"/>
          <w:sz w:val="22"/>
        </w:rPr>
      </w:pPr>
    </w:p>
    <w:p w14:paraId="25B3B0D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Ventilación del espacio de contención: </w:t>
      </w:r>
      <w:r>
        <w:rPr>
          <w:rFonts w:ascii="Helvetica LT Std" w:hAnsi="Helvetica LT Std" w:cs="Calibri"/>
          <w:sz w:val="22"/>
        </w:rPr>
        <w:t>ventilación, natural o mecánica, de cámaras sanitarias, forjados sanitarios o sótanos no habitables situados entre el terreno y los locales ocupados, de modo que el radón se evacúe antes de alcanzar las zonas de trabajo.</w:t>
      </w:r>
    </w:p>
    <w:p w14:paraId="16ED9FD5" w14:textId="77777777" w:rsidR="00873094" w:rsidRDefault="00873094" w:rsidP="00873094">
      <w:pPr>
        <w:pStyle w:val="ListParagraph"/>
        <w:spacing w:line="360" w:lineRule="auto"/>
        <w:rPr>
          <w:rFonts w:ascii="Helvetica LT Std" w:hAnsi="Helvetica LT Std" w:cs="Calibri"/>
          <w:sz w:val="22"/>
        </w:rPr>
      </w:pPr>
    </w:p>
    <w:p w14:paraId="7994B7F1"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Despresurización del terreno: </w:t>
      </w:r>
      <w:r>
        <w:rPr>
          <w:rFonts w:ascii="Helvetica LT Std" w:hAnsi="Helvetica LT Std" w:cs="Calibri"/>
          <w:sz w:val="22"/>
        </w:rPr>
        <w:t>sistema, pasivo o con extractor mecánico, que mediante arquetas o pozos de captación bajo la solera y conductos de evacuación extrae el gas del terreno y lo expulsa al exterior por encima de la cubierta. Es, con carácter general, la solución más eficaz ante superaciones elevadas, y es una de las soluciones de referencia que el CTE DB HS6 establece para los municipios de Zona II, junto con la barrera de protección.</w:t>
      </w:r>
    </w:p>
    <w:p w14:paraId="4B76836A" w14:textId="77777777" w:rsidR="00873094" w:rsidRPr="00A4498F" w:rsidRDefault="00873094" w:rsidP="00A4498F">
      <w:pPr>
        <w:spacing w:line="360" w:lineRule="auto"/>
        <w:ind w:left="360"/>
        <w:rPr>
          <w:rFonts w:ascii="Helvetica LT Std" w:hAnsi="Helvetica LT Std" w:cs="Calibri"/>
          <w:sz w:val="22"/>
        </w:rPr>
      </w:pPr>
    </w:p>
    <w:p w14:paraId="59619874"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Conforme al artículo 103 del RINR, el diseño y la implantación de las medidas de carácter no constructivo o mecánico deberán ser realizados por el Servicio de Protección Radiológica de la empresa o por una Unidad Técnica de Protección Radiológica (UTPR) especializada en radiación natural, mientras que el diseño de las medidas de tipo </w:t>
      </w:r>
      <w:r>
        <w:rPr>
          <w:rFonts w:ascii="Helvetica LT Std" w:hAnsi="Helvetica LT Std" w:cs="Calibri"/>
          <w:sz w:val="22"/>
        </w:rPr>
        <w:lastRenderedPageBreak/>
        <w:t>constructivo queda reservado a profesionales con la habilitación correspondiente para elaborar proyectos técnicos de edificación.</w:t>
      </w:r>
    </w:p>
    <w:p w14:paraId="3350595A" w14:textId="77777777" w:rsidR="00873094" w:rsidRDefault="00873094">
      <w:pPr>
        <w:pStyle w:val="BodyText"/>
        <w:spacing w:line="360" w:lineRule="auto"/>
        <w:rPr>
          <w:rFonts w:ascii="Helvetica LT Std" w:hAnsi="Helvetica LT Std" w:cs="Calibri"/>
          <w:sz w:val="22"/>
        </w:rPr>
      </w:pPr>
    </w:p>
    <w:p w14:paraId="1022766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6.3. Medidas administrativas de reducción de la exposición</w:t>
      </w:r>
    </w:p>
    <w:p w14:paraId="152431B8"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 carácter complementario o transitorio, mientras se ejecutan las medidas de remediación, pueden adoptarse medidas organizativas que reducen la exposición de las personas trabajadoras sin actuar sobre la concentración:</w:t>
      </w:r>
    </w:p>
    <w:p w14:paraId="0E4D9B26" w14:textId="77777777" w:rsidR="00720CEE" w:rsidRDefault="00720CEE">
      <w:pPr>
        <w:pStyle w:val="BodyText"/>
        <w:spacing w:line="360" w:lineRule="auto"/>
        <w:rPr>
          <w:rFonts w:ascii="Helvetica LT Std" w:hAnsi="Helvetica LT Std" w:cs="Calibri"/>
          <w:sz w:val="22"/>
        </w:rPr>
      </w:pPr>
    </w:p>
    <w:p w14:paraId="58109518" w14:textId="77777777" w:rsidR="00720CEE" w:rsidRDefault="00720CEE">
      <w:pPr>
        <w:pStyle w:val="BodyText"/>
        <w:spacing w:line="360" w:lineRule="auto"/>
        <w:rPr>
          <w:rFonts w:ascii="Helvetica LT Std" w:hAnsi="Helvetica LT Std" w:cs="Calibri"/>
          <w:sz w:val="22"/>
        </w:rPr>
      </w:pPr>
    </w:p>
    <w:p w14:paraId="2894287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Limitación del tiempo de permanencia en las zonas afectadas y reorganización de tareas y turnos.</w:t>
      </w:r>
    </w:p>
    <w:p w14:paraId="06F0B06D" w14:textId="77777777" w:rsidR="00A4498F" w:rsidRDefault="00A4498F" w:rsidP="00A4498F">
      <w:pPr>
        <w:pStyle w:val="ListParagraph"/>
        <w:spacing w:line="360" w:lineRule="auto"/>
        <w:rPr>
          <w:rFonts w:ascii="Helvetica LT Std" w:hAnsi="Helvetica LT Std" w:cs="Calibri"/>
          <w:sz w:val="22"/>
        </w:rPr>
      </w:pPr>
    </w:p>
    <w:p w14:paraId="56E09DFD" w14:textId="440174F5"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Reubicación de los puestos de trabajo fijos fuera de las zonas afectadas, cuando sea posible.</w:t>
      </w:r>
    </w:p>
    <w:p w14:paraId="02606D0D" w14:textId="77777777" w:rsidR="00720CEE" w:rsidRDefault="00720CEE" w:rsidP="00720CEE">
      <w:pPr>
        <w:pStyle w:val="ListParagraph"/>
        <w:spacing w:line="360" w:lineRule="auto"/>
        <w:rPr>
          <w:rFonts w:ascii="Helvetica LT Std" w:hAnsi="Helvetica LT Std" w:cs="Calibri"/>
          <w:sz w:val="22"/>
        </w:rPr>
      </w:pPr>
    </w:p>
    <w:p w14:paraId="0219E76E"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Uso de equipos de protección individual: el CSN señala que diversos estudios científicos avalan la eficacia de las mascarillas filtrantes FFP2 y FFP3 para disminuir las dosis debidas al radón.</w:t>
      </w:r>
    </w:p>
    <w:p w14:paraId="2BA2EFC9" w14:textId="77777777" w:rsidR="00720CEE" w:rsidRDefault="00720CEE" w:rsidP="00720CEE">
      <w:pPr>
        <w:pStyle w:val="ListParagraph"/>
        <w:spacing w:line="360" w:lineRule="auto"/>
        <w:rPr>
          <w:rFonts w:ascii="Helvetica LT Std" w:hAnsi="Helvetica LT Std" w:cs="Calibri"/>
          <w:sz w:val="22"/>
        </w:rPr>
      </w:pPr>
    </w:p>
    <w:p w14:paraId="36D00562"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Estas medidas no sustituyen a las de remediación y su diseño debe contar con el asesoramiento de una UTPR.</w:t>
      </w:r>
    </w:p>
    <w:p w14:paraId="373A1CC5" w14:textId="77777777" w:rsidR="00720CEE" w:rsidRDefault="00720CEE">
      <w:pPr>
        <w:pStyle w:val="BodyText"/>
        <w:spacing w:line="360" w:lineRule="auto"/>
        <w:rPr>
          <w:rFonts w:ascii="Helvetica LT Std" w:hAnsi="Helvetica LT Std" w:cs="Calibri"/>
          <w:sz w:val="22"/>
        </w:rPr>
      </w:pPr>
    </w:p>
    <w:p w14:paraId="656B50B3"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6.4. Recomendación específica para este centro de trabajo</w:t>
      </w:r>
    </w:p>
    <w:p w14:paraId="6103DA89"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{RECOMENDACION_ESPECIFICA}</w:t>
      </w:r>
    </w:p>
    <w:p w14:paraId="6BE3AF1B" w14:textId="77777777" w:rsidR="0072409B" w:rsidRDefault="0072409B">
      <w:pPr>
        <w:pStyle w:val="BodyText"/>
        <w:spacing w:line="360" w:lineRule="auto"/>
        <w:rPr>
          <w:rFonts w:ascii="Helvetica LT Std" w:hAnsi="Helvetica LT Std" w:cs="Calibri"/>
          <w:sz w:val="22"/>
        </w:rPr>
      </w:pPr>
    </w:p>
    <w:p w14:paraId="18C189E2" w14:textId="77777777" w:rsidR="0072409B" w:rsidRDefault="001B5D1A">
      <w:pPr>
        <w:pStyle w:val="Heading1"/>
        <w:spacing w:line="360" w:lineRule="auto"/>
        <w:rPr>
          <w:rFonts w:ascii="Helvetica LT Std" w:hAnsi="Helvetica LT Std" w:cs="Arial"/>
        </w:rPr>
      </w:pPr>
      <w:r>
        <w:rPr>
          <w:rFonts w:ascii="Helvetica LT Std" w:hAnsi="Helvetica LT Std" w:cs="Arial"/>
        </w:rPr>
        <w:t>7. OBLIGACIONES DEL TITULAR Y PLAZOS</w:t>
      </w:r>
    </w:p>
    <w:p w14:paraId="53D36C4E" w14:textId="77777777" w:rsidR="0072409B" w:rsidRDefault="0072409B">
      <w:pPr>
        <w:pStyle w:val="BodyText"/>
        <w:spacing w:line="360" w:lineRule="auto"/>
        <w:rPr>
          <w:rFonts w:ascii="Helvetica LT Std" w:hAnsi="Helvetica LT Std" w:cs="Calibri"/>
          <w:sz w:val="22"/>
        </w:rPr>
      </w:pPr>
    </w:p>
    <w:p w14:paraId="70EED7E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7.1. Información y consulta a las personas trabajadoras</w:t>
      </w:r>
    </w:p>
    <w:p w14:paraId="15DEBF5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Conforme al artículo octavo de la Instrucción IS-47, el titular debe informar a las personas trabajadoras, o a sus representantes, de los resultados obtenidos en el estudio y, al haberse registrado zonas con promedios superiores a 300 Bq/m³, consultarles sobre las posibles medidas de remediación o de reducción de las exposiciones. El presente informe debe integrarse en la evaluación de riesgos laborales del centro (artículo 19.1 del RPSI y Ley 31/1995) y permanecer a disposición de las personas trabajadoras, de la inspección </w:t>
      </w:r>
      <w:r>
        <w:rPr>
          <w:rFonts w:ascii="Helvetica LT Std" w:hAnsi="Helvetica LT Std" w:cs="Calibri"/>
          <w:sz w:val="22"/>
        </w:rPr>
        <w:lastRenderedPageBreak/>
        <w:t>del CSN, de la Inspección de Trabajo y Seguridad Social y de las demás administraciones competentes.</w:t>
      </w:r>
    </w:p>
    <w:p w14:paraId="534627DA" w14:textId="77777777" w:rsidR="00CF2256" w:rsidRDefault="00CF2256">
      <w:pPr>
        <w:pStyle w:val="BodyText"/>
        <w:spacing w:line="360" w:lineRule="auto"/>
        <w:rPr>
          <w:rFonts w:ascii="Helvetica LT Std" w:hAnsi="Helvetica LT Std" w:cs="Calibri"/>
          <w:sz w:val="22"/>
        </w:rPr>
      </w:pPr>
    </w:p>
    <w:p w14:paraId="1D60675F"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7.2. Medición de comprobación y periodicidad de los estudios</w:t>
      </w:r>
    </w:p>
    <w:p w14:paraId="166A6269"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Tras la implantación de las medidas correctoras deberá revaluarse el promedio anual de concentración de radón (artículo 75.2 del RPSI). Además, conforme al artículo sexto de la Instrucción IS-47, al haberse detectado valores superiores a 300 Bq/m³, los estudios de medición deberán actualizarse cada cinco años (en lugar de cada diez), frecuencia que también se aplica mientras sea necesario mantener en funcionamiento sistemas activos de protección. Cada actualización incluirá al menos un tercio de los puntos del estudio inicial, priorizando las ubicaciones con resultados más elevados y todas aquellas que hayan superado los 300 Bq/m³ en cualquiera de las dos últimas actualizaciones. Asimismo, si se realizan obras o transformaciones que puedan afectar a las concentraciones de radón (reducción de la renovación de aire, modificación del contacto con el terreno), deberá iniciarse una nueva medición en el plazo máximo de seis meses tras su finalización.</w:t>
      </w:r>
    </w:p>
    <w:p w14:paraId="052087B5" w14:textId="77777777" w:rsidR="00CF2256" w:rsidRDefault="00CF2256">
      <w:pPr>
        <w:pStyle w:val="BodyText"/>
        <w:spacing w:line="360" w:lineRule="auto"/>
        <w:rPr>
          <w:rFonts w:ascii="Helvetica LT Std" w:hAnsi="Helvetica LT Std" w:cs="Calibri"/>
          <w:sz w:val="22"/>
        </w:rPr>
      </w:pPr>
    </w:p>
    <w:p w14:paraId="0A4E00C8"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7.3. Declaración ante la Administración</w:t>
      </w:r>
    </w:p>
    <w:p w14:paraId="6D80B9B1"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El artículo 103 del RINR establece el régimen de declaración de las actividades laborales con especial exposición al radón ante el órgano competente de la comunidad autónoma, que da lugar a la inscripción en el Registro de actividades laborales con exposición a la radiación natural:</w:t>
      </w:r>
    </w:p>
    <w:p w14:paraId="6AD752A3" w14:textId="77777777" w:rsidR="00290E79" w:rsidRDefault="00290E79">
      <w:pPr>
        <w:pStyle w:val="BodyText"/>
        <w:spacing w:line="360" w:lineRule="auto"/>
        <w:rPr>
          <w:rFonts w:ascii="Helvetica LT Std" w:hAnsi="Helvetica LT Std" w:cs="Calibri"/>
          <w:sz w:val="22"/>
        </w:rPr>
      </w:pPr>
    </w:p>
    <w:p w14:paraId="7E60AE9D"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tras las medidas correctoras todas las zonas presentan promedios inferiores a 300 Bq/m³, el titular queda exento de presentar la declaración.</w:t>
      </w:r>
    </w:p>
    <w:p w14:paraId="0ED311BE" w14:textId="77777777" w:rsidR="00290E79" w:rsidRDefault="00290E79" w:rsidP="00290E79">
      <w:pPr>
        <w:pStyle w:val="ListParagraph"/>
        <w:spacing w:line="360" w:lineRule="auto"/>
        <w:rPr>
          <w:rFonts w:ascii="Helvetica LT Std" w:hAnsi="Helvetica LT Std" w:cs="Calibri"/>
          <w:sz w:val="22"/>
        </w:rPr>
      </w:pPr>
    </w:p>
    <w:p w14:paraId="5E17ABDA"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en alguna zona el promedio se mantiene entre 300 y 1.000 Bq/m³, el plazo para presentar la declaración es de un año desde la fecha de emisión del informe de resultados.</w:t>
      </w:r>
    </w:p>
    <w:p w14:paraId="537D2753" w14:textId="77777777" w:rsidR="00290E79" w:rsidRPr="00290E79" w:rsidRDefault="00290E79" w:rsidP="00290E79">
      <w:pPr>
        <w:pStyle w:val="ListParagraph"/>
        <w:rPr>
          <w:rFonts w:ascii="Helvetica LT Std" w:hAnsi="Helvetica LT Std" w:cs="Calibri"/>
          <w:sz w:val="22"/>
        </w:rPr>
      </w:pPr>
    </w:p>
    <w:p w14:paraId="4D28BCE9"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Si en alguna zona el promedio supera los 1.000 Bq/m³, el plazo se reduce a un mes desde la fecha de emisión del informe de resultados, y procede además implantar con carácter inmediato acciones de reducción de la exposición de las personas trabajadoras.</w:t>
      </w:r>
    </w:p>
    <w:p w14:paraId="24B29381" w14:textId="77777777" w:rsidR="00CF2256" w:rsidRDefault="00CF2256" w:rsidP="00290E79">
      <w:pPr>
        <w:pStyle w:val="ListParagraph"/>
        <w:spacing w:line="360" w:lineRule="auto"/>
        <w:rPr>
          <w:rFonts w:ascii="Helvetica LT Std" w:hAnsi="Helvetica LT Std" w:cs="Calibri"/>
          <w:sz w:val="22"/>
        </w:rPr>
      </w:pPr>
    </w:p>
    <w:p w14:paraId="2EE41402"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Atendiendo a los valores registrados en el presente estudio, de mantenerse la superación tras las medidas correctoras, el plazo de declaración aplicable sería de {PLAZO_DECLARACION}.</w:t>
      </w:r>
    </w:p>
    <w:p w14:paraId="0E5803DD" w14:textId="77777777" w:rsidR="00CF2256" w:rsidRDefault="00CF2256">
      <w:pPr>
        <w:pStyle w:val="BodyText"/>
        <w:spacing w:line="360" w:lineRule="auto"/>
        <w:rPr>
          <w:rFonts w:ascii="Helvetica LT Std" w:hAnsi="Helvetica LT Std" w:cs="Calibri"/>
          <w:sz w:val="22"/>
        </w:rPr>
      </w:pPr>
    </w:p>
    <w:p w14:paraId="7EE050A3"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7.4. Actuaciones si persiste la superación tras las medidas correctoras</w:t>
      </w:r>
    </w:p>
    <w:p w14:paraId="7E827B17"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Si tras la medición de comprobación alguna zona mantuviera un promedio anual superior a 300 Bq/m³, será de aplicación el régimen del artículo 19 del RPSI:</w:t>
      </w:r>
    </w:p>
    <w:p w14:paraId="6EB9278D"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Estimación de dosis: </w:t>
      </w:r>
      <w:r>
        <w:rPr>
          <w:rFonts w:ascii="Helvetica LT Std" w:hAnsi="Helvetica LT Std" w:cs="Calibri"/>
          <w:sz w:val="22"/>
        </w:rPr>
        <w:t>una UTPR especializada en radiación natural (o el Servicio de Protección Radiológica de la empresa) estimará las dosis efectivas anuales que puedan recibir las personas trabajadoras antes y después de la implantación de las medidas correctoras (artículo 103.4 del RINR). El informe de dosis deberá presentarse al CSN en el plazo máximo de un mes desde su emisión.</w:t>
      </w:r>
    </w:p>
    <w:p w14:paraId="40C1E28C" w14:textId="77777777" w:rsidR="00CF2256" w:rsidRDefault="00CF2256" w:rsidP="00CF2256">
      <w:pPr>
        <w:pStyle w:val="ListParagraph"/>
        <w:spacing w:line="360" w:lineRule="auto"/>
        <w:rPr>
          <w:rFonts w:ascii="Helvetica LT Std" w:hAnsi="Helvetica LT Std" w:cs="Calibri"/>
          <w:sz w:val="22"/>
        </w:rPr>
      </w:pPr>
    </w:p>
    <w:p w14:paraId="502F3259"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Dosis igual o inferior a 6 mSv por año oficial: </w:t>
      </w:r>
      <w:r>
        <w:rPr>
          <w:rFonts w:ascii="Helvetica LT Std" w:hAnsi="Helvetica LT Std" w:cs="Calibri"/>
          <w:sz w:val="22"/>
        </w:rPr>
        <w:t>la situación se mantendrá bajo revisión, verificando periódicamente que no se producen cambios en los factores que influyen en las dosis (tiempos de permanencia y concentraciones), sin necesidad de medidas adicionales de protección radiológica.</w:t>
      </w:r>
    </w:p>
    <w:p w14:paraId="5FC87924" w14:textId="77777777" w:rsidR="00CF2256" w:rsidRPr="00CF2256" w:rsidRDefault="00CF2256" w:rsidP="00CF2256">
      <w:pPr>
        <w:pStyle w:val="ListParagraph"/>
        <w:rPr>
          <w:rFonts w:ascii="Helvetica LT Std" w:hAnsi="Helvetica LT Std" w:cs="Calibri"/>
          <w:sz w:val="22"/>
        </w:rPr>
      </w:pPr>
    </w:p>
    <w:p w14:paraId="17C44645" w14:textId="77777777" w:rsidR="00CF2256" w:rsidRDefault="00CF2256" w:rsidP="00CF2256">
      <w:pPr>
        <w:pStyle w:val="ListParagraph"/>
        <w:spacing w:line="360" w:lineRule="auto"/>
        <w:rPr>
          <w:rFonts w:ascii="Helvetica LT Std" w:hAnsi="Helvetica LT Std" w:cs="Calibri"/>
          <w:sz w:val="22"/>
        </w:rPr>
      </w:pPr>
    </w:p>
    <w:p w14:paraId="3DAB705A"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Dosis superior a 6 mSv por año oficial: </w:t>
      </w:r>
      <w:r>
        <w:rPr>
          <w:rFonts w:ascii="Helvetica LT Std" w:hAnsi="Helvetica LT Std" w:cs="Calibri"/>
          <w:sz w:val="22"/>
        </w:rPr>
        <w:t>las personas trabajadoras afectadas deberán clasificarse como trabajadores expuestos al radón, y las zonas correspondientes deberán clasificarse y señalizarse como zonas de radón conforme a la norma UNE 73001:2023. Procederá aplicar medidas de protección radiológica (vigilancia radiológica del lugar de trabajo, vigilancia individual de las dosis, vigilancia sanitaria y formación e información de las personas trabajadoras) bajo el diseño y la supervisión de una UTPR, conforme a los artículos de aplicación del RPSI y a la vigilancia de dosis del artículo 104 del RINR.</w:t>
      </w:r>
    </w:p>
    <w:p w14:paraId="048CA2BF" w14:textId="77777777" w:rsidR="00CF2256" w:rsidRDefault="00CF2256" w:rsidP="00CF2256">
      <w:pPr>
        <w:pStyle w:val="ListParagraph"/>
        <w:spacing w:line="360" w:lineRule="auto"/>
        <w:rPr>
          <w:rFonts w:ascii="Helvetica LT Std" w:hAnsi="Helvetica LT Std" w:cs="Calibri"/>
          <w:sz w:val="22"/>
        </w:rPr>
      </w:pPr>
    </w:p>
    <w:p w14:paraId="7501F55F"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Límite de dosis: </w:t>
      </w:r>
      <w:r>
        <w:rPr>
          <w:rFonts w:ascii="Helvetica LT Std" w:hAnsi="Helvetica LT Std" w:cs="Calibri"/>
          <w:sz w:val="22"/>
        </w:rPr>
        <w:t>en ningún caso la suma de las exposiciones ocupacionales podrá superar los 20 mSv por año oficial; las situaciones que puedan aproximarse a este límite exigen acciones inmediatas, como la reubicación de la persona trabajadora.</w:t>
      </w:r>
    </w:p>
    <w:p w14:paraId="48DE2870" w14:textId="77777777" w:rsidR="00CF2256" w:rsidRPr="00CF2256" w:rsidRDefault="00CF2256" w:rsidP="00CF2256">
      <w:pPr>
        <w:pStyle w:val="ListParagraph"/>
        <w:rPr>
          <w:rFonts w:ascii="Helvetica LT Std" w:hAnsi="Helvetica LT Std" w:cs="Calibri"/>
          <w:sz w:val="22"/>
        </w:rPr>
      </w:pPr>
    </w:p>
    <w:p w14:paraId="5E3F9904" w14:textId="77777777" w:rsidR="00CF2256" w:rsidRDefault="00CF2256" w:rsidP="00CF2256">
      <w:pPr>
        <w:pStyle w:val="ListParagraph"/>
        <w:spacing w:line="360" w:lineRule="auto"/>
        <w:rPr>
          <w:rFonts w:ascii="Helvetica LT Std" w:hAnsi="Helvetica LT Std" w:cs="Calibri"/>
          <w:sz w:val="22"/>
        </w:rPr>
      </w:pPr>
    </w:p>
    <w:p w14:paraId="672F450E"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ESTUDIOS DEL TERRENO S.L. queda a disposición de {CLIENTE_NOMBRE} para planificar y ejecutar la medición de comprobación posterior a la implantación de las medidas correctoras, así como para asesorar en la coordinación con los agentes técnicos competentes (UTPR especializada en radiación natural y, en su caso, proyectista habilitado).</w:t>
      </w:r>
    </w:p>
    <w:p w14:paraId="1B791A8E" w14:textId="77777777" w:rsidR="0072409B" w:rsidRDefault="0072409B">
      <w:pPr>
        <w:pStyle w:val="BodyText"/>
        <w:spacing w:line="360" w:lineRule="auto"/>
        <w:rPr>
          <w:rFonts w:ascii="Helvetica LT Std" w:hAnsi="Helvetica LT Std" w:cs="Calibri"/>
          <w:sz w:val="22"/>
        </w:rPr>
      </w:pPr>
    </w:p>
    <w:p w14:paraId="0FFC85B7" w14:textId="07D84B8A" w:rsidR="00A36BAA" w:rsidRPr="007B62CB" w:rsidRDefault="00E57CC5"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0F2DCDB3" wp14:editId="2A0BF4CF">
            <wp:extent cx="1157977" cy="810986"/>
            <wp:effectExtent l="0" t="0" r="0" b="8255"/>
            <wp:docPr id="216618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69192" cy="818840"/>
                    </a:xfrm>
                    <a:prstGeom prst="rect">
                      <a:avLst/>
                    </a:prstGeom>
                    <a:noFill/>
                    <a:ln>
                      <a:noFill/>
                    </a:ln>
                  </pic:spPr>
                </pic:pic>
              </a:graphicData>
            </a:graphic>
          </wp:inline>
        </w:drawing>
      </w:r>
    </w:p>
    <w:p w14:paraId="65A285EF" w14:textId="75C1A383" w:rsidR="003374C6" w:rsidRDefault="00382F44" w:rsidP="00F607EA">
      <w:pPr>
        <w:pStyle w:val="BodyText"/>
        <w:spacing w:line="360" w:lineRule="auto"/>
        <w:rPr>
          <w:rFonts w:ascii="Helvetica LT Std" w:hAnsi="Helvetica LT Std" w:cs="Calibri"/>
          <w:sz w:val="22"/>
        </w:rPr>
      </w:pPr>
      <w:r>
        <w:rPr>
          <w:rFonts w:ascii="Helvetica LT Std" w:hAnsi="Helvetica LT Std" w:cs="Calibri"/>
          <w:sz w:val="22"/>
        </w:rPr>
        <w:t>H</w:t>
      </w:r>
      <w:r w:rsidR="00CF2256">
        <w:rPr>
          <w:rFonts w:ascii="Helvetica LT Std" w:hAnsi="Helvetica LT Std" w:cs="Calibri"/>
          <w:sz w:val="22"/>
        </w:rPr>
        <w:t>elena Hernández Martín</w:t>
      </w:r>
    </w:p>
    <w:p w14:paraId="26F91477" w14:textId="3A9B669F" w:rsidR="00F86FAE" w:rsidRDefault="00A36BAA" w:rsidP="00F607EA">
      <w:pPr>
        <w:pStyle w:val="BodyText"/>
        <w:spacing w:line="360" w:lineRule="auto"/>
        <w:rPr>
          <w:rFonts w:ascii="Helvetica LT Std" w:hAnsi="Helvetica LT Std" w:cs="Calibri"/>
          <w:sz w:val="22"/>
        </w:rPr>
      </w:pPr>
      <w:r>
        <w:rPr>
          <w:rFonts w:ascii="Helvetica LT Std" w:hAnsi="Helvetica LT Std" w:cs="Calibri"/>
          <w:sz w:val="22"/>
        </w:rPr>
        <w:t>G</w:t>
      </w:r>
      <w:r w:rsidR="00AF6AA1">
        <w:rPr>
          <w:rFonts w:ascii="Helvetica LT Std" w:hAnsi="Helvetica LT Std" w:cs="Calibri"/>
          <w:sz w:val="22"/>
        </w:rPr>
        <w:t>raduada en Ciencias Ambientales por la Universidad de Córdoba</w:t>
      </w:r>
    </w:p>
    <w:p w14:paraId="3E709768" w14:textId="62643D90" w:rsidR="00AF6AA1" w:rsidRDefault="00AF6AA1" w:rsidP="00F607EA">
      <w:pPr>
        <w:pStyle w:val="BodyText"/>
        <w:spacing w:line="360" w:lineRule="auto"/>
        <w:rPr>
          <w:rFonts w:ascii="Helvetica LT Std" w:hAnsi="Helvetica LT Std" w:cs="Calibri"/>
          <w:sz w:val="22"/>
        </w:rPr>
      </w:pPr>
      <w:r>
        <w:rPr>
          <w:rFonts w:ascii="Helvetica LT Std" w:hAnsi="Helvetica LT Std" w:cs="Calibri"/>
          <w:sz w:val="22"/>
        </w:rPr>
        <w:t xml:space="preserve">Máster en Gestión Ambiental y Energética de las Organizaciones por la Universidad Europea </w:t>
      </w:r>
    </w:p>
    <w:p w14:paraId="3C92EFA0" w14:textId="77777777" w:rsidR="0028388D" w:rsidRPr="00314BD3" w:rsidRDefault="0028388D" w:rsidP="00D90A45">
      <w:pPr>
        <w:pStyle w:val="BodyText"/>
        <w:spacing w:line="312" w:lineRule="auto"/>
        <w:rPr>
          <w:rFonts w:ascii="HelveticaNeueLT Std" w:hAnsi="HelveticaNeueLT Std" w:cs="Calibri"/>
          <w:sz w:val="22"/>
        </w:rPr>
      </w:pPr>
    </w:p>
    <w:p w14:paraId="6BFF9128"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C1902" w14:textId="77777777" w:rsidR="00710E2C" w:rsidRDefault="00710E2C">
      <w:r>
        <w:separator/>
      </w:r>
    </w:p>
  </w:endnote>
  <w:endnote w:type="continuationSeparator" w:id="0">
    <w:p w14:paraId="059D3EC5" w14:textId="77777777" w:rsidR="00710E2C" w:rsidRDefault="00710E2C">
      <w:r>
        <w:continuationSeparator/>
      </w:r>
    </w:p>
  </w:endnote>
  <w:endnote w:type="continuationNotice" w:id="1">
    <w:p w14:paraId="0083EA3F" w14:textId="77777777" w:rsidR="00710E2C" w:rsidRDefault="00710E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67D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092EBC90"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7BA3B" w14:textId="77777777" w:rsidR="00710E2C" w:rsidRDefault="00710E2C">
      <w:r>
        <w:separator/>
      </w:r>
    </w:p>
  </w:footnote>
  <w:footnote w:type="continuationSeparator" w:id="0">
    <w:p w14:paraId="7D8B5980" w14:textId="77777777" w:rsidR="00710E2C" w:rsidRDefault="00710E2C">
      <w:r>
        <w:continuationSeparator/>
      </w:r>
    </w:p>
  </w:footnote>
  <w:footnote w:type="continuationNotice" w:id="1">
    <w:p w14:paraId="14BC59BB" w14:textId="77777777" w:rsidR="00710E2C" w:rsidRDefault="00710E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E6DD" w14:textId="77777777" w:rsidR="00F25AE1" w:rsidRPr="00BD3490" w:rsidRDefault="00F25AE1">
    <w:pPr>
      <w:pStyle w:val="Header"/>
    </w:pPr>
  </w:p>
  <w:p w14:paraId="3D0355F2" w14:textId="77777777"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4404FE74" w14:textId="77777777"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67E0F"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193EB87A" w14:textId="77777777" w:rsidR="00EA2AD4" w:rsidRDefault="00EA2AD4" w:rsidP="00EA2AD4">
    <w:pPr>
      <w:pStyle w:val="Header"/>
      <w:rPr>
        <w:noProof/>
      </w:rPr>
    </w:pPr>
  </w:p>
  <w:p w14:paraId="1637EE8C"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C73C9C"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486D1F03" w14:textId="77777777" w:rsidR="00EA2AD4" w:rsidRDefault="00EA2AD4" w:rsidP="00EA2AD4">
    <w:pPr>
      <w:pStyle w:val="Header"/>
    </w:pPr>
  </w:p>
  <w:p w14:paraId="1D4B96F9" w14:textId="77777777" w:rsidR="00EA2AD4" w:rsidRDefault="00EA2AD4" w:rsidP="00EA2AD4">
    <w:pPr>
      <w:pStyle w:val="Header"/>
    </w:pPr>
  </w:p>
  <w:p w14:paraId="77EBA2F9" w14:textId="77777777"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77777777"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4D0916">
                                <w:rPr>
                                  <w:sz w:val="32"/>
                                  <w:szCs w:val="40"/>
                                </w:rPr>
                                <w:t>ESTUDIOS DEL TERRENO S.L.</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374AAC5F" w14:textId="77777777" w:rsidR="004D0916" w:rsidRPr="00607FAB" w:rsidRDefault="009D1E22" w:rsidP="004D0916">
                              <w:pPr>
                                <w:pStyle w:val="Heading1"/>
                              </w:pPr>
                              <w:r>
                                <w:rPr>
                                  <w:sz w:val="32"/>
                                  <w:szCs w:val="40"/>
                                  <w:lang w:val="es-ES"/>
                                </w:rPr>
                                <w:t>11 DE FEBRERO DE 2026</w:t>
                              </w:r>
                            </w:p>
                          </w:sdtContent>
                        </w:sdt>
                        <w:p w14:paraId="46C38949" w14:textId="77777777" w:rsidR="004D0916" w:rsidRDefault="004D0916" w:rsidP="004D091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77777777"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4D0916">
                          <w:rPr>
                            <w:sz w:val="32"/>
                            <w:szCs w:val="40"/>
                          </w:rPr>
                          <w:t>ESTUDIOS DEL TERRENO S.L.</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Content>
                      <w:p w14:paraId="374AAC5F" w14:textId="77777777" w:rsidR="004D0916" w:rsidRPr="00607FAB" w:rsidRDefault="009D1E22" w:rsidP="004D0916">
                        <w:pPr>
                          <w:pStyle w:val="Heading1"/>
                        </w:pPr>
                        <w:r>
                          <w:rPr>
                            <w:sz w:val="32"/>
                            <w:szCs w:val="40"/>
                            <w:lang w:val="es-ES"/>
                          </w:rPr>
                          <w:t>11 DE FEBRERO DE 2026</w:t>
                        </w:r>
                      </w:p>
                    </w:sdtContent>
                  </w:sdt>
                  <w:p w14:paraId="46C38949" w14:textId="77777777" w:rsidR="004D0916" w:rsidRDefault="004D0916" w:rsidP="004D0916"/>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802E0"/>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5D1A"/>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7E9D"/>
    <w:rsid w:val="00225F88"/>
    <w:rsid w:val="00230B41"/>
    <w:rsid w:val="00230BA0"/>
    <w:rsid w:val="002420E7"/>
    <w:rsid w:val="002428FF"/>
    <w:rsid w:val="00245E1A"/>
    <w:rsid w:val="00245E6D"/>
    <w:rsid w:val="002532E3"/>
    <w:rsid w:val="00253371"/>
    <w:rsid w:val="0025392B"/>
    <w:rsid w:val="00254478"/>
    <w:rsid w:val="00255E0D"/>
    <w:rsid w:val="002606A5"/>
    <w:rsid w:val="00272569"/>
    <w:rsid w:val="0028388D"/>
    <w:rsid w:val="00283C6F"/>
    <w:rsid w:val="00284D13"/>
    <w:rsid w:val="00286884"/>
    <w:rsid w:val="0028748C"/>
    <w:rsid w:val="00290E79"/>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6E1A"/>
    <w:rsid w:val="004331C2"/>
    <w:rsid w:val="00435154"/>
    <w:rsid w:val="004362DF"/>
    <w:rsid w:val="004403D8"/>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F00B2"/>
    <w:rsid w:val="004F2EC9"/>
    <w:rsid w:val="004F3FE5"/>
    <w:rsid w:val="004F54AC"/>
    <w:rsid w:val="00502D98"/>
    <w:rsid w:val="00503977"/>
    <w:rsid w:val="0050433C"/>
    <w:rsid w:val="00511ABB"/>
    <w:rsid w:val="00512085"/>
    <w:rsid w:val="00512568"/>
    <w:rsid w:val="0051719F"/>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C64AD"/>
    <w:rsid w:val="005D5B6F"/>
    <w:rsid w:val="005E4C2D"/>
    <w:rsid w:val="005E5175"/>
    <w:rsid w:val="005E5C99"/>
    <w:rsid w:val="005F2E9B"/>
    <w:rsid w:val="005F6111"/>
    <w:rsid w:val="00602A7A"/>
    <w:rsid w:val="006105D3"/>
    <w:rsid w:val="006211C4"/>
    <w:rsid w:val="00621F26"/>
    <w:rsid w:val="006232BE"/>
    <w:rsid w:val="0062666B"/>
    <w:rsid w:val="00627C95"/>
    <w:rsid w:val="00633196"/>
    <w:rsid w:val="00635138"/>
    <w:rsid w:val="006423A2"/>
    <w:rsid w:val="006539AC"/>
    <w:rsid w:val="0065404A"/>
    <w:rsid w:val="00660D5C"/>
    <w:rsid w:val="006619A5"/>
    <w:rsid w:val="0066391E"/>
    <w:rsid w:val="00671FD2"/>
    <w:rsid w:val="00682118"/>
    <w:rsid w:val="00682A7E"/>
    <w:rsid w:val="00690D87"/>
    <w:rsid w:val="00693E99"/>
    <w:rsid w:val="00694861"/>
    <w:rsid w:val="00696F5C"/>
    <w:rsid w:val="006970C7"/>
    <w:rsid w:val="00697F8C"/>
    <w:rsid w:val="006A05B9"/>
    <w:rsid w:val="006B4D1B"/>
    <w:rsid w:val="006B4DCF"/>
    <w:rsid w:val="006C1481"/>
    <w:rsid w:val="006D0B3A"/>
    <w:rsid w:val="006D2AC7"/>
    <w:rsid w:val="006D6889"/>
    <w:rsid w:val="006E7F52"/>
    <w:rsid w:val="006F074B"/>
    <w:rsid w:val="006F0ED3"/>
    <w:rsid w:val="006F24D8"/>
    <w:rsid w:val="006F3060"/>
    <w:rsid w:val="00704357"/>
    <w:rsid w:val="00704EE1"/>
    <w:rsid w:val="007077F2"/>
    <w:rsid w:val="00710E2C"/>
    <w:rsid w:val="0071184D"/>
    <w:rsid w:val="007153CC"/>
    <w:rsid w:val="007173C5"/>
    <w:rsid w:val="00717CCE"/>
    <w:rsid w:val="00720CEE"/>
    <w:rsid w:val="00721D69"/>
    <w:rsid w:val="00722D96"/>
    <w:rsid w:val="0072409B"/>
    <w:rsid w:val="00726310"/>
    <w:rsid w:val="007360FB"/>
    <w:rsid w:val="00740CAA"/>
    <w:rsid w:val="00743613"/>
    <w:rsid w:val="007545FB"/>
    <w:rsid w:val="00757321"/>
    <w:rsid w:val="007669BD"/>
    <w:rsid w:val="00772D6D"/>
    <w:rsid w:val="00775ACE"/>
    <w:rsid w:val="007778E1"/>
    <w:rsid w:val="00781E9D"/>
    <w:rsid w:val="007824BC"/>
    <w:rsid w:val="0078686F"/>
    <w:rsid w:val="0078706A"/>
    <w:rsid w:val="00796993"/>
    <w:rsid w:val="007A4B14"/>
    <w:rsid w:val="007A4C11"/>
    <w:rsid w:val="007B4DD6"/>
    <w:rsid w:val="007B5331"/>
    <w:rsid w:val="007B62CB"/>
    <w:rsid w:val="007C01D0"/>
    <w:rsid w:val="007C0BCB"/>
    <w:rsid w:val="007C3CE1"/>
    <w:rsid w:val="007C7FB9"/>
    <w:rsid w:val="007D0233"/>
    <w:rsid w:val="007D0633"/>
    <w:rsid w:val="007D2BCF"/>
    <w:rsid w:val="007D3D4D"/>
    <w:rsid w:val="007D4B44"/>
    <w:rsid w:val="007E1094"/>
    <w:rsid w:val="007E1EEA"/>
    <w:rsid w:val="007E4E11"/>
    <w:rsid w:val="007E7CB9"/>
    <w:rsid w:val="007F4883"/>
    <w:rsid w:val="008025A5"/>
    <w:rsid w:val="00803A34"/>
    <w:rsid w:val="008052ED"/>
    <w:rsid w:val="00810126"/>
    <w:rsid w:val="008129B2"/>
    <w:rsid w:val="00821BAA"/>
    <w:rsid w:val="00826C0C"/>
    <w:rsid w:val="00827DD6"/>
    <w:rsid w:val="00832A8D"/>
    <w:rsid w:val="008417CE"/>
    <w:rsid w:val="008420C7"/>
    <w:rsid w:val="008432A1"/>
    <w:rsid w:val="00844794"/>
    <w:rsid w:val="0085326D"/>
    <w:rsid w:val="00865ADD"/>
    <w:rsid w:val="008662CE"/>
    <w:rsid w:val="0086699F"/>
    <w:rsid w:val="00872EE7"/>
    <w:rsid w:val="00873094"/>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50FF3"/>
    <w:rsid w:val="00951605"/>
    <w:rsid w:val="00951915"/>
    <w:rsid w:val="009554D0"/>
    <w:rsid w:val="00966595"/>
    <w:rsid w:val="009739E7"/>
    <w:rsid w:val="00974BBC"/>
    <w:rsid w:val="00975241"/>
    <w:rsid w:val="00976729"/>
    <w:rsid w:val="00977937"/>
    <w:rsid w:val="00980F98"/>
    <w:rsid w:val="00981508"/>
    <w:rsid w:val="009930C2"/>
    <w:rsid w:val="009A0461"/>
    <w:rsid w:val="009A1E48"/>
    <w:rsid w:val="009A4ACA"/>
    <w:rsid w:val="009B5C4E"/>
    <w:rsid w:val="009C3A87"/>
    <w:rsid w:val="009C52C1"/>
    <w:rsid w:val="009D1E22"/>
    <w:rsid w:val="009D3E9D"/>
    <w:rsid w:val="009D4218"/>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C95"/>
    <w:rsid w:val="00A33F4E"/>
    <w:rsid w:val="00A36BAA"/>
    <w:rsid w:val="00A432AF"/>
    <w:rsid w:val="00A4498F"/>
    <w:rsid w:val="00A62AC4"/>
    <w:rsid w:val="00A6497E"/>
    <w:rsid w:val="00A71737"/>
    <w:rsid w:val="00A8491B"/>
    <w:rsid w:val="00A84F34"/>
    <w:rsid w:val="00A91879"/>
    <w:rsid w:val="00A97B1D"/>
    <w:rsid w:val="00AA6FD6"/>
    <w:rsid w:val="00AB04E5"/>
    <w:rsid w:val="00AB0CCE"/>
    <w:rsid w:val="00AB41DC"/>
    <w:rsid w:val="00AC1CB1"/>
    <w:rsid w:val="00AC7BD2"/>
    <w:rsid w:val="00AE506F"/>
    <w:rsid w:val="00AF5CAC"/>
    <w:rsid w:val="00AF6AA1"/>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B4656"/>
    <w:rsid w:val="00CC1EB6"/>
    <w:rsid w:val="00CC2524"/>
    <w:rsid w:val="00CD3971"/>
    <w:rsid w:val="00CD5FCC"/>
    <w:rsid w:val="00CE653E"/>
    <w:rsid w:val="00CF18AA"/>
    <w:rsid w:val="00CF2256"/>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238E"/>
    <w:rsid w:val="00D9380B"/>
    <w:rsid w:val="00D93B57"/>
    <w:rsid w:val="00D96305"/>
    <w:rsid w:val="00DA266E"/>
    <w:rsid w:val="00DB0B5F"/>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57CC5"/>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58A4"/>
    <w:rsid w:val="00FA711A"/>
    <w:rsid w:val="00FC4449"/>
    <w:rsid w:val="00FC7F00"/>
    <w:rsid w:val="00FD7E29"/>
    <w:rsid w:val="00FE0D2A"/>
    <w:rsid w:val="00FE1FDB"/>
    <w:rsid w:val="00FE4A3A"/>
    <w:rsid w:val="00FE7DE4"/>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1B3486"/>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2A144F"/>
    <w:rsid w:val="0033289E"/>
    <w:rsid w:val="0051719F"/>
    <w:rsid w:val="006619A5"/>
    <w:rsid w:val="00690D87"/>
    <w:rsid w:val="007921F0"/>
    <w:rsid w:val="008645FF"/>
    <w:rsid w:val="009B3DC3"/>
    <w:rsid w:val="00E11C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11 DE FEBRERO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3327</Words>
  <Characters>18303</Characters>
  <Application>Microsoft Office Word</Application>
  <DocSecurity>0</DocSecurity>
  <Lines>152</Lines>
  <Paragraphs>43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{TITULO_INFORME}</vt:lpstr>
      <vt:lpstr/>
    </vt:vector>
  </TitlesOfParts>
  <Company>ESTUDIOS DEL TERRENO S.L.</Company>
  <LinksUpToDate>false</LinksUpToDate>
  <CharactersWithSpaces>21587</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4</cp:revision>
  <cp:lastPrinted>2019-11-15T13:18:00Z</cp:lastPrinted>
  <dcterms:created xsi:type="dcterms:W3CDTF">2026-06-19T13:14:00Z</dcterms:created>
  <dcterms:modified xsi:type="dcterms:W3CDTF">2026-06-29T15:30:00Z</dcterms:modified>
</cp:coreProperties>
</file>