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terrenos volcánicos canarios presentan un potencial de radón significativo: la totalidad de los municipios de Gran Canaria y la práctica totalidad de los de Tenerife figuran como «Zona II» en el apéndice B de la sección HS6 del Código Técnico de la Edificación y son, por ello, términos municipales de actuación prioritaria contra el radón (Instrucción IS-47 del CSN). Por ello, las islas se consideran territorio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en recintos cerrados un nivel de referencia de 300 becquerelios por metro cúbico (Bq/m³), en términos de promedio anual de concentración en aire (artículo 72.a). El nivel de referencia no es un límite que no pueda rebasarse, sino el valor por encima del cual se considera inapropiado permitir que se produzcan exposiciones y que obliga a actuar (artículo 4.58).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reglamento incluye en su ámbito de aplicación la exposición de trabajadores o de miembros del público al radón en recintos cerrados (artículo 2.1.c).3.º) y establece en su artículo 75.1 la obligación de estimar el promedio anual de concentración de radón en aire en los lugares de trabajo afectados, entre ellos todos los situados en planta baja o bajo rasante de los términos municipales de actuación prioritaria (artículo 75.1.c).</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Consejo de Seguridad Nuclear (CSN) aprobó la Instrucción IS-47, de 9 de abril de 2025 (BOE núm. 105, de 1 de mayo de 2025; en vigor desde el 2 de mayo de 2025),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incluido como «Zona II» en el apéndice B de la sección HS6 del Documento Básico HS del Código Técnico de la Edificación —la categoría de mayor exigencia de protección— y es, por ello, término municipal de actuación prioritaria contra el radón (artículo tercero de la Instrucción IS-47).</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adecuados para las mediciones de larga duración que exige la normativa española (artículo 76.2 del Real Decreto 1029/2022 e Instrucción IS-47 del CSN).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C55F9E5"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Estos detectores están compuestos por una película sensible a la radiación ubicada dentro de una cápsula hecha de un plástico antiestático específico que permite la entrada del gas radón por difusión. Estos detectores son inocuos y no interfieren con las personas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51DA3051" w14:textId="6960B383"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Södra Depagatan 2, 75 454 Uppsala, Suecia apara ser posteriormente analizados en su laboratorio para la determinación de los resultados. </w:t>
      </w: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Pr>
          <w:rFonts w:ascii="Helvetica LT Std" w:hAnsi="Helvetica LT Std" w:cs="Calibri"/>
          <w:b w:val="0"/>
          <w:bCs w:val="0"/>
          <w:sz w:val="22"/>
          <w:lang w:val="es-ES"/>
        </w:rPr>
        <w:t>ESTUDIOS DEL TERRENO S.L. es el distribuidor oficial de RADONOVA LABORATORIES AB, laboratorio acreditado para medir radón en aire según la norma ISO/IEC 17025 e incluido en la información sobre laboratorios de medición de radón que publica el Consejo de Seguridad Nuclear (https://www.csn.es/radon).  La empresa Radonova Laboratories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conforme al artículo cuarto.e) de la Instrucción IS-47 del Consejo de Seguridad Nuclear (periodo mínimo de tres meses comprendido entre el 1 de octubre y el 31 de mayo) y al Real Decreto 1029/2022 (artículos 75.1 y 76.2), que requieren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En cuanto a la colocación de detectores, se siguieron las directrices del artículo quinto.3 de la Instrucción IS-47 del CSN: los detectores se colocaron a una altura de entre 50 cm y 2 m sobre el nivel del suelo, a más de 30 cm de las paredes, fuera de armarios y alejados de corrientes de aire (ventiladores, ventanas) y de fuentes de calor, consignándose la fecha y hora de colocación y retirada de cada detector. Durante la exposición se mantuvieron los hábitos de ocupación ordinarios del centro de trabajo (artículo quinto.4).</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DCB479C"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2268"/>
        <w:gridCol w:w="2126"/>
        <w:gridCol w:w="2268"/>
      </w:tblGrid>
      <w:tr w:rsidR="00865ADD" w:rsidRPr="00BB4CBC" w14:paraId="5C47E277" w14:textId="77777777" w:rsidTr="005215E4">
        <w:tc>
          <w:tcPr>
            <w:tcW w:w="1980"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268"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2126"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268"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5215E4">
        <w:trPr>
          <w:trHeight w:val="589"/>
        </w:trPr>
        <w:tc>
          <w:tcPr>
            <w:tcW w:w="1980"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268"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2126"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2268"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59B5B7FC" w14:textId="77777777" w:rsidR="0066391E" w:rsidRDefault="0066391E" w:rsidP="00F607EA">
      <w:pPr>
        <w:pStyle w:val="Heading1"/>
        <w:spacing w:line="360" w:lineRule="auto"/>
        <w:rPr>
          <w:rFonts w:ascii="Helvetica LT Std" w:hAnsi="Helvetica LT Std" w:cs="Arial"/>
        </w:rPr>
      </w:pPr>
    </w:p>
    <w:p w14:paraId="75E3269A" w14:textId="77777777" w:rsidR="005215E4" w:rsidRDefault="005215E4">
      <w:pPr>
        <w:jc w:val="left"/>
        <w:rPr>
          <w:rFonts w:ascii="Helvetica LT Std" w:hAnsi="Helvetica LT Std" w:cs="Arial"/>
          <w:b/>
          <w:bCs/>
          <w:lang w:val="es-ES_tradnl"/>
        </w:rPr>
      </w:pPr>
      <w:r>
        <w:rPr>
          <w:rFonts w:ascii="Helvetica LT Std" w:hAnsi="Helvetica LT Std" w:cs="Arial"/>
        </w:rPr>
        <w:br w:type="page"/>
      </w:r>
    </w:p>
    <w:p w14:paraId="2B602846" w14:textId="4C65BBD1"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un nivel de referencia de 300 Bq/m³ —promedio anual de concentración en aire (artículo 72.a), no un límite infranqueable— y la obligación de realizar mediciones específicas en los puestos de trabajo (artículo 75.1). Organismos como la Organización Mundial de la Salud (OMS) recomiendan sin embargo un nivel de referencia más estricto, de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La Instrucción IS-47, de 9 de abril de 2025, del CSN (BOE de 1 de mayo de 2025) aprueba el listado de términos municipales de actuación prioritaria contra el radón y establece las directrices para las mediciones de este gas radiactivo natural en el interior de los centros de trabajo. El municipio de {MUNICIPIO} está catalogado como término municipal de actuación prioritaria («Zona II» del apéndice B de la sección HS6 del CTE).</w:t>
      </w:r>
    </w:p>
    <w:p w14:paraId="4234A4D3" w14:textId="77777777" w:rsidR="005A512A" w:rsidRDefault="005A512A" w:rsidP="00F86FAE">
      <w:pPr>
        <w:pStyle w:val="BodyText"/>
        <w:spacing w:line="360" w:lineRule="auto"/>
        <w:rPr>
          <w:rFonts w:ascii="Helvetica LT Std" w:hAnsi="Helvetica LT Std" w:cs="Calibri"/>
          <w:sz w:val="22"/>
        </w:rPr>
      </w:pPr>
    </w:p>
    <w:p w14:paraId="26690907" w14:textId="3C268201" w:rsidR="003D08F1" w:rsidRPr="0099492D" w:rsidRDefault="006423A2" w:rsidP="003D08F1">
      <w:pPr>
        <w:pStyle w:val="BodyText"/>
        <w:spacing w:line="360" w:lineRule="auto"/>
        <w:rPr>
          <w:rFonts w:ascii="Helvetica LT Std" w:hAnsi="Helvetica LT Std" w:cs="Calibri"/>
          <w:b/>
          <w:bCs/>
          <w:color w:val="C00000"/>
          <w:sz w:val="22"/>
        </w:rPr>
      </w:pPr>
      <w:r w:rsidRPr="0099492D">
        <w:rPr>
          <w:rFonts w:ascii="Helvetica LT Std" w:hAnsi="Helvetica LT Std" w:cs="Calibri"/>
          <w:b/>
          <w:bCs/>
          <w:color w:val="C00000"/>
          <w:sz w:val="22"/>
        </w:rPr>
        <w:t xml:space="preserve">Se han detectado valores superiores al nivel de referencia de 300 Bq/m³ </w:t>
      </w:r>
      <w:r w:rsidR="003D08F1" w:rsidRPr="0099492D">
        <w:rPr>
          <w:rFonts w:ascii="Helvetica LT Std" w:hAnsi="Helvetica LT Std" w:cs="Calibri"/>
          <w:b/>
          <w:bCs/>
          <w:color w:val="C00000"/>
          <w:sz w:val="22"/>
        </w:rPr>
        <w:t xml:space="preserve">establecido en el artículo 72.a) del Real Decreto 1029/2022, de 20 de diciembre, aplicable a las mediciones realizadas conforme a la Instrucción IS-47 del CSN </w:t>
      </w:r>
      <w:r w:rsidRPr="0099492D">
        <w:rPr>
          <w:rFonts w:ascii="Helvetica LT Std" w:hAnsi="Helvetica LT Std" w:cs="Calibri"/>
          <w:b/>
          <w:bCs/>
          <w:color w:val="C00000"/>
          <w:sz w:val="22"/>
        </w:rPr>
        <w:t xml:space="preserve">en {UBICACION_CENTRO_CORTO}. </w:t>
      </w:r>
      <w:r w:rsidR="003D08F1" w:rsidRPr="0099492D">
        <w:rPr>
          <w:rFonts w:ascii="Helvetica LT Std" w:hAnsi="Helvetica LT Std" w:cs="Calibri"/>
          <w:b/>
          <w:bCs/>
          <w:color w:val="C00000"/>
          <w:sz w:val="22"/>
        </w:rPr>
        <w:t xml:space="preserve">Estos datos arrojan unos valores medios de {VALOR_PROMEDIO}. </w:t>
      </w:r>
    </w:p>
    <w:p w14:paraId="026E354B" w14:textId="77777777" w:rsidR="003D08F1" w:rsidRDefault="003D08F1" w:rsidP="003D08F1">
      <w:pPr>
        <w:pStyle w:val="BodyText"/>
        <w:spacing w:line="360" w:lineRule="auto"/>
        <w:rPr>
          <w:rFonts w:ascii="Helvetica LT Std" w:hAnsi="Helvetica LT Std" w:cs="Calibri"/>
          <w:sz w:val="22"/>
        </w:rPr>
      </w:pPr>
    </w:p>
    <w:p w14:paraId="4EB0B413" w14:textId="67EABB76" w:rsidR="003D08F1" w:rsidRDefault="003D08F1" w:rsidP="003D08F1">
      <w:pPr>
        <w:pStyle w:val="BodyText"/>
        <w:spacing w:line="360" w:lineRule="auto"/>
        <w:rPr>
          <w:rFonts w:ascii="Helvetica LT Std" w:hAnsi="Helvetica LT Std" w:cs="Calibri"/>
          <w:i/>
          <w:iCs/>
          <w:sz w:val="22"/>
        </w:rPr>
      </w:pPr>
      <w:r>
        <w:rPr>
          <w:rFonts w:ascii="Helvetica LT Std" w:hAnsi="Helvetica LT Std" w:cs="Calibri"/>
          <w:sz w:val="22"/>
        </w:rPr>
        <w:t xml:space="preserve">Para limitar la exposición de los trabajadores a estas zonas, se estará a lo estipulado en rl RD 1217/2024 de 3 de diciembre, Titulo IX Capitulo II, Articulo 103 </w:t>
      </w:r>
      <w:r w:rsidRPr="003D08F1">
        <w:rPr>
          <w:rFonts w:ascii="Helvetica LT Std" w:hAnsi="Helvetica LT Std" w:cs="Calibri"/>
          <w:i/>
          <w:iCs/>
          <w:sz w:val="22"/>
        </w:rPr>
        <w:t>Exposición al radón en centros de trabajo</w:t>
      </w:r>
      <w:r>
        <w:rPr>
          <w:rFonts w:ascii="Helvetica LT Std" w:hAnsi="Helvetica LT Std" w:cs="Calibri"/>
          <w:i/>
          <w:iCs/>
          <w:sz w:val="22"/>
        </w:rPr>
        <w:t xml:space="preserve">: </w:t>
      </w:r>
    </w:p>
    <w:p w14:paraId="31E6D34C" w14:textId="77777777" w:rsidR="0099492D" w:rsidRPr="003D08F1" w:rsidRDefault="0099492D" w:rsidP="003D08F1">
      <w:pPr>
        <w:pStyle w:val="BodyText"/>
        <w:spacing w:line="360" w:lineRule="auto"/>
        <w:rPr>
          <w:rFonts w:ascii="Helvetica LT Std" w:hAnsi="Helvetica LT Std" w:cs="Calibri"/>
          <w:i/>
          <w:iCs/>
          <w:sz w:val="22"/>
        </w:rPr>
      </w:pPr>
    </w:p>
    <w:p w14:paraId="7DD4CAB6" w14:textId="77777777" w:rsidR="003D08F1" w:rsidRDefault="003D08F1" w:rsidP="003D08F1">
      <w:pPr>
        <w:pStyle w:val="BodyText"/>
        <w:spacing w:line="360" w:lineRule="auto"/>
        <w:rPr>
          <w:rFonts w:ascii="Helvetica LT Std" w:hAnsi="Helvetica LT Std" w:cs="Calibri"/>
          <w:b/>
          <w:bCs/>
          <w:i/>
          <w:iCs/>
          <w:sz w:val="22"/>
        </w:rPr>
      </w:pPr>
      <w:r w:rsidRPr="0099492D">
        <w:rPr>
          <w:rFonts w:ascii="Helvetica LT Std" w:hAnsi="Helvetica LT Std" w:cs="Calibri"/>
          <w:b/>
          <w:bCs/>
          <w:i/>
          <w:iCs/>
          <w:sz w:val="22"/>
        </w:rPr>
        <w:t>Artículo 103. Declaración y estudios adicionales.</w:t>
      </w:r>
    </w:p>
    <w:p w14:paraId="1714B5FA" w14:textId="77777777" w:rsidR="00CA2A66" w:rsidRPr="0099492D" w:rsidRDefault="00CA2A66" w:rsidP="003D08F1">
      <w:pPr>
        <w:pStyle w:val="BodyText"/>
        <w:spacing w:line="360" w:lineRule="auto"/>
        <w:rPr>
          <w:rFonts w:ascii="Helvetica LT Std" w:hAnsi="Helvetica LT Std" w:cs="Calibri"/>
          <w:b/>
          <w:bCs/>
          <w:i/>
          <w:iCs/>
          <w:sz w:val="22"/>
        </w:rPr>
      </w:pPr>
    </w:p>
    <w:p w14:paraId="6771AD6A" w14:textId="4D78C56A"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 xml:space="preserve">1. </w:t>
      </w:r>
      <w:r w:rsidRPr="00CA2A66">
        <w:rPr>
          <w:rFonts w:ascii="Helvetica LT Std" w:hAnsi="Helvetica LT Std" w:cs="Calibri"/>
          <w:i/>
          <w:iCs/>
          <w:sz w:val="22"/>
        </w:rPr>
        <w:t>Cuando, a partir de las estimaciones del promedio anual de la concentración de radón en aire requeridas por el </w:t>
      </w:r>
      <w:hyperlink r:id="rId9" w:anchor="a7-7" w:tgtFrame="_blank" w:tooltip="Abre nueva ventana" w:history="1">
        <w:r w:rsidRPr="00CA2A66">
          <w:rPr>
            <w:i/>
            <w:iCs/>
          </w:rPr>
          <w:t>artículo 75 del Reglamento sobre protección de la salud contra los riesgos derivados de la exposición a las radiaciones ionizantes, aprobado por Real Decreto 1029/2022, de 20 de diciembre</w:t>
        </w:r>
      </w:hyperlink>
      <w:r w:rsidRPr="00CA2A66">
        <w:rPr>
          <w:rFonts w:ascii="Helvetica LT Std" w:hAnsi="Helvetica LT Std" w:cs="Calibri"/>
          <w:i/>
          <w:iCs/>
          <w:sz w:val="22"/>
        </w:rPr>
        <w:t xml:space="preserve">, o por cualquier otra circunstancia, en un lugar de trabajo se identifique que los trabajadores pueden acceder a zonas donde el promedio </w:t>
      </w:r>
      <w:r w:rsidRPr="00CA2A66">
        <w:rPr>
          <w:rFonts w:ascii="Helvetica LT Std" w:hAnsi="Helvetica LT Std" w:cs="Calibri"/>
          <w:i/>
          <w:iCs/>
          <w:sz w:val="22"/>
        </w:rPr>
        <w:lastRenderedPageBreak/>
        <w:t>anual de la concentración de radón en aire se</w:t>
      </w:r>
      <w:r w:rsidR="0099492D" w:rsidRPr="00CA2A66">
        <w:rPr>
          <w:rFonts w:ascii="Helvetica LT Std" w:hAnsi="Helvetica LT Std" w:cs="Calibri"/>
          <w:i/>
          <w:iCs/>
          <w:sz w:val="22"/>
        </w:rPr>
        <w:t>a superior a</w:t>
      </w:r>
      <w:r w:rsidRPr="00CA2A66">
        <w:rPr>
          <w:rFonts w:ascii="Helvetica LT Std" w:hAnsi="Helvetica LT Std" w:cs="Calibri"/>
          <w:i/>
          <w:iCs/>
          <w:sz w:val="22"/>
        </w:rPr>
        <w:t xml:space="preserve">  300 Bq/m</w:t>
      </w:r>
      <w:r w:rsidRPr="00CA2A66">
        <w:rPr>
          <w:rFonts w:ascii="Helvetica LT Std" w:hAnsi="Helvetica LT Std" w:cs="Calibri"/>
          <w:i/>
          <w:iCs/>
          <w:sz w:val="22"/>
          <w:vertAlign w:val="superscript"/>
        </w:rPr>
        <w:t xml:space="preserve">3  </w:t>
      </w:r>
      <w:r w:rsidRPr="00CA2A66">
        <w:rPr>
          <w:rFonts w:ascii="Helvetica LT Std" w:hAnsi="Helvetica LT Std" w:cs="Calibri"/>
          <w:i/>
          <w:iCs/>
          <w:sz w:val="22"/>
        </w:rPr>
        <w:t>, los titulares de las actividades laborales que allí se desarrollen deberán:</w:t>
      </w:r>
    </w:p>
    <w:p w14:paraId="63B84589" w14:textId="77777777" w:rsidR="00CA2A66" w:rsidRPr="00CA2A66" w:rsidRDefault="00CA2A66" w:rsidP="003D08F1">
      <w:pPr>
        <w:pStyle w:val="BodyText"/>
        <w:spacing w:line="360" w:lineRule="auto"/>
        <w:rPr>
          <w:rFonts w:ascii="Helvetica LT Std" w:hAnsi="Helvetica LT Std" w:cs="Calibri"/>
          <w:i/>
          <w:iCs/>
          <w:sz w:val="22"/>
        </w:rPr>
      </w:pPr>
    </w:p>
    <w:p w14:paraId="0F169ABF" w14:textId="77777777" w:rsidR="003D08F1" w:rsidRPr="0099492D"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a) Presentar una declaración sobre esta situación ante el órgano competente de la comunidad autónoma en cuyo territorio se ubique el centro de trabajo, así como presentar las comunicaciones que se especifican en el artículo 105. Este órgano competente será determinado por cada comunidad autónoma.</w:t>
      </w:r>
    </w:p>
    <w:p w14:paraId="713B3FB1"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Las instalaciones nucleares e instalaciones radiactivas que dispongan de Servicio de Protección Radiológica o tengan contratada una Unidad Técnica de Protección Radiológica no tendrán que presentar esta declaración. En dichas instalaciones, el control de la exposición al radón se llevará a cabo por el Servicio de Protección Radiológica o la Unidad Técnica de Protección Radiológica mencionados.</w:t>
      </w:r>
    </w:p>
    <w:p w14:paraId="46EC82A8" w14:textId="77777777" w:rsidR="00CA2A66" w:rsidRPr="0099492D" w:rsidRDefault="00CA2A66" w:rsidP="003D08F1">
      <w:pPr>
        <w:pStyle w:val="BodyText"/>
        <w:spacing w:line="360" w:lineRule="auto"/>
        <w:rPr>
          <w:rFonts w:ascii="Helvetica LT Std" w:hAnsi="Helvetica LT Std" w:cs="Calibri"/>
          <w:i/>
          <w:iCs/>
          <w:sz w:val="22"/>
        </w:rPr>
      </w:pPr>
    </w:p>
    <w:p w14:paraId="09074CE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b) Llevar a cabo mediciones de radón en las zonas afectadas, con la periodicidad que el Consejo de Seguridad Nuclear establezca mediante instrucción.</w:t>
      </w:r>
    </w:p>
    <w:p w14:paraId="66FBB7C4" w14:textId="77777777" w:rsidR="00CA2A66" w:rsidRPr="0099492D" w:rsidRDefault="00CA2A66" w:rsidP="003D08F1">
      <w:pPr>
        <w:pStyle w:val="BodyText"/>
        <w:spacing w:line="360" w:lineRule="auto"/>
        <w:rPr>
          <w:rFonts w:ascii="Helvetica LT Std" w:hAnsi="Helvetica LT Std" w:cs="Calibri"/>
          <w:i/>
          <w:iCs/>
          <w:sz w:val="22"/>
        </w:rPr>
      </w:pPr>
    </w:p>
    <w:p w14:paraId="781D3D0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c) Mantener informados a los trabajadores o a sus representantes, tanto del resultado de la evaluación de las mediciones, como de las actuaciones de mitigación o protección requeridas, en su caso.</w:t>
      </w:r>
    </w:p>
    <w:p w14:paraId="7DCE9FA8" w14:textId="77777777" w:rsidR="00CA2A66" w:rsidRPr="0099492D" w:rsidRDefault="00CA2A66" w:rsidP="003D08F1">
      <w:pPr>
        <w:pStyle w:val="BodyText"/>
        <w:spacing w:line="360" w:lineRule="auto"/>
        <w:rPr>
          <w:rFonts w:ascii="Helvetica LT Std" w:hAnsi="Helvetica LT Std" w:cs="Calibri"/>
          <w:i/>
          <w:iCs/>
          <w:sz w:val="22"/>
        </w:rPr>
      </w:pPr>
    </w:p>
    <w:p w14:paraId="14BA7DCD"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2. Cuando en el lugar de trabajo ninguna zona de permanencia de trabajadores presente un promedio anual de concentración de radón superior a 1.000 Bq/m</w:t>
      </w:r>
      <w:r w:rsidRPr="0099492D">
        <w:rPr>
          <w:rFonts w:ascii="Helvetica LT Std" w:hAnsi="Helvetica LT Std" w:cs="Calibri"/>
          <w:i/>
          <w:iCs/>
          <w:sz w:val="22"/>
          <w:vertAlign w:val="superscript"/>
        </w:rPr>
        <w:t>3</w:t>
      </w:r>
      <w:r w:rsidRPr="0099492D">
        <w:rPr>
          <w:rFonts w:ascii="Helvetica LT Std" w:hAnsi="Helvetica LT Std" w:cs="Calibri"/>
          <w:i/>
          <w:iCs/>
          <w:sz w:val="22"/>
        </w:rPr>
        <w:t>, la declaración deberá hacerse en un plazo de un año natural a partir de la fecha que conste en el informe de resultados de las mediciones. Si durante este plazo se llevan a cabo acciones correctoras de tipo constructivo o mecánico destinadas a reducir la concentración de radón, el plazo de declaración se ampliará un año adicional a partir de la fecha de finalización de dichas acciones. En caso de que las medidas posteriores a las acciones correctoras no superen 300 Bq/m</w:t>
      </w:r>
      <w:r w:rsidRPr="0099492D">
        <w:rPr>
          <w:rFonts w:ascii="Helvetica LT Std" w:hAnsi="Helvetica LT Std" w:cs="Calibri"/>
          <w:i/>
          <w:iCs/>
          <w:sz w:val="22"/>
          <w:vertAlign w:val="superscript"/>
        </w:rPr>
        <w:t>3</w:t>
      </w:r>
      <w:r w:rsidRPr="0099492D">
        <w:rPr>
          <w:rFonts w:ascii="Helvetica LT Std" w:hAnsi="Helvetica LT Std" w:cs="Calibri"/>
          <w:i/>
          <w:iCs/>
          <w:sz w:val="22"/>
        </w:rPr>
        <w:t>, el titular de la actividad laboral quedará exento de efectuar la declaración.</w:t>
      </w:r>
    </w:p>
    <w:p w14:paraId="3F18480C" w14:textId="77777777" w:rsidR="00CA2A66" w:rsidRDefault="00CA2A66" w:rsidP="003D08F1">
      <w:pPr>
        <w:pStyle w:val="BodyText"/>
        <w:spacing w:line="360" w:lineRule="auto"/>
        <w:rPr>
          <w:rFonts w:ascii="Helvetica LT Std" w:hAnsi="Helvetica LT Std" w:cs="Calibri"/>
          <w:i/>
          <w:iCs/>
          <w:sz w:val="22"/>
        </w:rPr>
      </w:pPr>
    </w:p>
    <w:p w14:paraId="73B318EC" w14:textId="77777777" w:rsidR="0099492D" w:rsidRPr="0099492D" w:rsidRDefault="0099492D" w:rsidP="003D08F1">
      <w:pPr>
        <w:pStyle w:val="BodyText"/>
        <w:spacing w:line="360" w:lineRule="auto"/>
        <w:rPr>
          <w:rFonts w:ascii="Helvetica LT Std" w:hAnsi="Helvetica LT Std" w:cs="Calibri"/>
          <w:i/>
          <w:iCs/>
          <w:sz w:val="22"/>
        </w:rPr>
      </w:pP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lastRenderedPageBreak/>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4BB08749" w14:textId="77777777" w:rsidR="00CA2A66" w:rsidRDefault="00CA2A66">
      <w:pPr>
        <w:pStyle w:val="BodyText"/>
        <w:spacing w:line="360" w:lineRule="auto"/>
        <w:rPr>
          <w:rFonts w:ascii="Helvetica LT Std" w:hAnsi="Helvetica LT Std" w:cs="Calibri"/>
          <w:sz w:val="22"/>
        </w:rPr>
      </w:pPr>
    </w:p>
    <w:p w14:paraId="7476024C" w14:textId="70C97AC5" w:rsidR="00CA2A66"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w:t>
      </w:r>
      <w:r w:rsidR="0099492D">
        <w:rPr>
          <w:rFonts w:ascii="Helvetica LT Std" w:hAnsi="Helvetica LT Std" w:cs="Calibri"/>
          <w:b/>
          <w:bCs/>
          <w:sz w:val="22"/>
        </w:rPr>
        <w:t>1.</w:t>
      </w:r>
      <w:r>
        <w:rPr>
          <w:rFonts w:ascii="Helvetica LT Std" w:hAnsi="Helvetica LT Std" w:cs="Calibri"/>
          <w:b/>
          <w:bCs/>
          <w:sz w:val="22"/>
        </w:rPr>
        <w:t xml:space="preserve"> Fases de actuació</w:t>
      </w:r>
      <w:r w:rsidR="004F688A">
        <w:rPr>
          <w:rFonts w:ascii="Helvetica LT Std" w:hAnsi="Helvetica LT Std" w:cs="Calibri"/>
          <w:b/>
          <w:bCs/>
          <w:sz w:val="22"/>
        </w:rPr>
        <w:t>n</w:t>
      </w:r>
    </w:p>
    <w:p w14:paraId="1C35F6F9" w14:textId="77777777" w:rsidR="004F688A" w:rsidRDefault="004F688A">
      <w:pPr>
        <w:pStyle w:val="BodyText"/>
        <w:spacing w:line="360" w:lineRule="auto"/>
        <w:rPr>
          <w:rFonts w:ascii="Helvetica LT Std" w:hAnsi="Helvetica LT Std" w:cs="Calibri"/>
          <w:b/>
          <w:bCs/>
          <w:sz w:val="22"/>
        </w:rPr>
      </w:pPr>
    </w:p>
    <w:p w14:paraId="51C27050" w14:textId="6BE1DBB9"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2295E9A7" w14:textId="1ADADF61"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13A43619" w14:textId="3C922BCE"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 xml:space="preserve">una vez implantadas las medidas, revaluación del promedio anual de concentración de radón en las zonas afectadas conforme a la Instrucción IS-47 (artículos cuarto y quinto): detectores suministrados y analizados por un laboratorio acreditado según la norma UNE-EN ISO/IEC 17025, con un periodo de exposición mínimo de tres meses —no necesariamente consecutivos— comprendido entre el 1 de octubre y el 31 de mayo (o a lo largo de un año natural, en periodos de duración máxima trimestral), manteniendo los sistemas de protección instalados en su régimen habitual de funcionamiento. Si las medidas ejecutadas comportan obras o transformaciones </w:t>
      </w:r>
      <w:r>
        <w:rPr>
          <w:rFonts w:ascii="Helvetica LT Std" w:hAnsi="Helvetica LT Std" w:cs="Calibri"/>
          <w:sz w:val="22"/>
        </w:rPr>
        <w:lastRenderedPageBreak/>
        <w:t>que puedan afectar de manera significativa a las concentraciones, las mediciones deberán iniciarse en el plazo máximo de seis meses desde su finalización (artículo sexto.2 de la IS-47).</w:t>
      </w: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 Para intervenciones en edificios existentes con mediciones disponibles, el DB HS6 (apartado 3.4) gradúa la respuesta: con valores entre una y dos veces el nivel de referencia (300–600 Bq/m³) se adoptarán las soluciones previstas para los municipios de zona I; con valores superiores al doble del nivel de referencia (más de 600 Bq/m³), las previstas para los municipios de zona II.</w:t>
      </w:r>
    </w:p>
    <w:p w14:paraId="36343E5D" w14:textId="77777777" w:rsidR="00873094" w:rsidRDefault="00873094">
      <w:pPr>
        <w:pStyle w:val="BodyText"/>
        <w:spacing w:line="360" w:lineRule="auto"/>
        <w:rPr>
          <w:rFonts w:ascii="Helvetica LT Std" w:hAnsi="Helvetica LT Std" w:cs="Calibri"/>
          <w:sz w:val="22"/>
        </w:rPr>
      </w:pPr>
    </w:p>
    <w:p w14:paraId="450F13D6" w14:textId="70035CE8"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w:t>
      </w:r>
      <w:r w:rsidR="004F688A">
        <w:rPr>
          <w:rFonts w:ascii="Helvetica LT Std" w:hAnsi="Helvetica LT Std" w:cs="Calibri"/>
          <w:b/>
          <w:bCs/>
          <w:sz w:val="22"/>
        </w:rPr>
        <w:t>o</w:t>
      </w:r>
    </w:p>
    <w:p w14:paraId="23352167" w14:textId="77777777" w:rsidR="004F688A" w:rsidRDefault="004F688A">
      <w:pPr>
        <w:pStyle w:val="BodyText"/>
        <w:spacing w:line="360" w:lineRule="auto"/>
        <w:rPr>
          <w:rFonts w:ascii="Helvetica LT Std" w:hAnsi="Helvetica LT Std" w:cs="Calibri"/>
          <w:b/>
          <w:bCs/>
          <w:sz w:val="22"/>
        </w:rPr>
      </w:pPr>
    </w:p>
    <w:p w14:paraId="3DAB2ABD" w14:textId="7E0BFDAF"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06063572" w14:textId="0DE90538"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(apartado 3.1.1) considera válidas, sin necesidad de cálculo, las barreras tipo lámina con un coeficiente de difusión frente al radón menor que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w:t>
      </w:r>
      <w:r>
        <w:rPr>
          <w:rFonts w:ascii="Helvetica LT Std" w:hAnsi="Helvetica LT Std" w:cs="Calibri"/>
          <w:sz w:val="22"/>
        </w:rPr>
        <w:lastRenderedPageBreak/>
        <w:t>continuidad garantizada y juntas, encuentros y perforaciones selladas. En edificios existentes su instalación suele requerir intervención sobre la solera.</w:t>
      </w: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 cuando interrumpan la continuidad de la barrera de protección deberán, además, disponer de mecanismo de cierre automático (apartado 3.1.1 del DB HS6).</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55849FC1" w14:textId="6D8465CE" w:rsidR="00873094"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1E67C74A" w14:textId="77777777" w:rsidR="004F688A" w:rsidRDefault="004F688A">
      <w:pPr>
        <w:pStyle w:val="BodyText"/>
        <w:spacing w:line="360" w:lineRule="auto"/>
        <w:rPr>
          <w:rFonts w:ascii="Helvetica LT Std" w:hAnsi="Helvetica LT Std" w:cs="Calibri"/>
          <w:b/>
          <w:bCs/>
          <w:sz w:val="22"/>
        </w:rPr>
      </w:pPr>
    </w:p>
    <w:p w14:paraId="5AC3F9F6" w14:textId="3CA90163"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16ED9FD5" w14:textId="3BAB02F6" w:rsidR="00873094"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uno de los dos sistemas adicionales que el CTE DB HS6 (apartado 3.1.b) exige combinar con la barrera de protección en los municipios de zona II (el otro es el espacio de contención ventilado).</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004CA518" w:rsidR="0072409B" w:rsidRDefault="001B5D1A">
      <w:pPr>
        <w:pStyle w:val="BodyText"/>
        <w:spacing w:line="360" w:lineRule="auto"/>
        <w:rPr>
          <w:rFonts w:ascii="Helvetica LT Std" w:hAnsi="Helvetica LT Std" w:cs="Calibri"/>
          <w:sz w:val="22"/>
        </w:rPr>
      </w:pPr>
      <w:r>
        <w:rPr>
          <w:rFonts w:ascii="Helvetica LT Std" w:hAnsi="Helvetica LT Std" w:cs="Calibri"/>
          <w:sz w:val="22"/>
        </w:rPr>
        <w:t>Cuando proceda ejecutar soluciones constructivas, el estudio deberá incluir además un informe emitido por un profesional competente habilitado para realizar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721B50D7" w14:textId="77777777" w:rsidR="004F688A" w:rsidRDefault="004F688A">
      <w:pPr>
        <w:pStyle w:val="BodyText"/>
        <w:spacing w:line="360" w:lineRule="auto"/>
        <w:rPr>
          <w:rFonts w:ascii="Helvetica LT Std" w:hAnsi="Helvetica LT Std" w:cs="Calibri"/>
          <w:b/>
          <w:bCs/>
          <w:sz w:val="22"/>
        </w:rPr>
      </w:pPr>
    </w:p>
    <w:p w14:paraId="58109518" w14:textId="56FBEF52" w:rsidR="00720CEE"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Con carácter complementario o transitorio, mientras se ejecutan las medidas de remediación, pueden adoptarse medidas organizativas que reducen la exposición de las personas trabajadoras sin actuar sobre la concentración:</w:t>
      </w:r>
    </w:p>
    <w:p w14:paraId="06F0B06D" w14:textId="4AA6FD3F" w:rsidR="00A4498F"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2606D0D" w14:textId="792D3698" w:rsidR="00720CEE" w:rsidRPr="004F688A"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2BA2EFC9" w14:textId="7140E1F3" w:rsidR="00720CEE" w:rsidRDefault="001B5D1A" w:rsidP="004F688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Uso de equipos de protección individual: el CSN señala que el uso de mascarillas filtrantes puede contribuir a reducir las dosis debidas al radón. Su selección y utilización (por ejemplo, mascarillas autofiltrantes frente a partículas FFP2/FFP3) se ajustará al Real Decreto 773/1997, como medida complementaria y de último recurso (artículo 17 de la Ley 31/1995), sin sustituir en ningún caso a las medidas de remediación</w:t>
      </w:r>
      <w:r w:rsidR="004F688A">
        <w:rPr>
          <w:rFonts w:ascii="Helvetica LT Std" w:hAnsi="Helvetica LT Std" w:cs="Calibri"/>
          <w:sz w:val="22"/>
        </w:rPr>
        <w:t>.</w:t>
      </w:r>
    </w:p>
    <w:p w14:paraId="0304A9A0" w14:textId="77777777" w:rsidR="004F688A" w:rsidRPr="004F688A" w:rsidRDefault="004F688A" w:rsidP="004F688A">
      <w:pPr>
        <w:spacing w:line="360" w:lineRule="auto"/>
        <w:rPr>
          <w:rFonts w:ascii="Helvetica LT Std" w:hAnsi="Helvetica LT Std" w:cs="Calibri"/>
          <w:sz w:val="22"/>
        </w:rPr>
      </w:pPr>
    </w:p>
    <w:p w14:paraId="6BE3AF1B" w14:textId="2A878A80"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1E630982" w14:textId="77777777" w:rsidR="004F688A" w:rsidRDefault="004F688A">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213809E2" w14:textId="77777777" w:rsidR="004F688A" w:rsidRDefault="004F688A">
      <w:pPr>
        <w:pStyle w:val="BodyText"/>
        <w:spacing w:line="360" w:lineRule="auto"/>
        <w:rPr>
          <w:rFonts w:ascii="Helvetica LT Std" w:hAnsi="Helvetica LT Std" w:cs="Calibri"/>
          <w:b/>
          <w:bCs/>
          <w:sz w:val="22"/>
        </w:rPr>
      </w:pP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del CSN, de la Inspección de Trabajo y Seguridad Social, de las autoridades sanitarias y de las demás administraciones competentes (artículo séptimo de la Instrucción IS-47 y artículo 76.3 del RPSI).</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4146571" w14:textId="77777777" w:rsidR="004F688A" w:rsidRDefault="004F688A">
      <w:pPr>
        <w:pStyle w:val="BodyText"/>
        <w:spacing w:line="360" w:lineRule="auto"/>
        <w:rPr>
          <w:rFonts w:ascii="Helvetica LT Std" w:hAnsi="Helvetica LT Std" w:cs="Calibri"/>
          <w:sz w:val="22"/>
        </w:rPr>
      </w:pPr>
    </w:p>
    <w:p w14:paraId="218FC96E" w14:textId="7DDFF705" w:rsidR="00CA2A66"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w:t>
      </w:r>
    </w:p>
    <w:p w14:paraId="463FCD37" w14:textId="77777777" w:rsidR="00CA2A66"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Cada actualización incluirá al menos un tercio de los puntos del estudio inicial, priorizando las ubicaciones con resultados más elevados y todas aquellas que hayan superado los 300 Bq/m³ en cualquiera de las dos últimas actualizaciones. </w:t>
      </w:r>
    </w:p>
    <w:p w14:paraId="166A6269" w14:textId="242F50E9" w:rsidR="0072409B" w:rsidRDefault="001B5D1A">
      <w:pPr>
        <w:pStyle w:val="BodyText"/>
        <w:spacing w:line="360" w:lineRule="auto"/>
        <w:rPr>
          <w:rFonts w:ascii="Helvetica LT Std" w:hAnsi="Helvetica LT Std" w:cs="Calibri"/>
          <w:sz w:val="22"/>
        </w:rPr>
      </w:pPr>
      <w:r>
        <w:rPr>
          <w:rFonts w:ascii="Helvetica LT Std" w:hAnsi="Helvetica LT Std" w:cs="Calibri"/>
          <w:sz w:val="22"/>
        </w:rPr>
        <w:t>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BE92BE7" w14:textId="588CAD3D"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78649518Y</w:t>
      </w:r>
    </w:p>
    <w:p w14:paraId="2E5D64F8" w14:textId="73A2EF12"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Estudios del Terreno, S.L.</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1"/>
      <w:footerReference w:type="default" r:id="rId12"/>
      <w:headerReference w:type="first" r:id="rId13"/>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D2966" w14:textId="77777777" w:rsidR="007A1A1E" w:rsidRDefault="007A1A1E">
      <w:r>
        <w:separator/>
      </w:r>
    </w:p>
  </w:endnote>
  <w:endnote w:type="continuationSeparator" w:id="0">
    <w:p w14:paraId="05AC3294" w14:textId="77777777" w:rsidR="007A1A1E" w:rsidRDefault="007A1A1E">
      <w:r>
        <w:continuationSeparator/>
      </w:r>
    </w:p>
  </w:endnote>
  <w:endnote w:type="continuationNotice" w:id="1">
    <w:p w14:paraId="091F65DC" w14:textId="77777777" w:rsidR="007A1A1E" w:rsidRDefault="007A1A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CD9F2" w14:textId="77777777" w:rsidR="007A1A1E" w:rsidRDefault="007A1A1E">
      <w:r>
        <w:separator/>
      </w:r>
    </w:p>
  </w:footnote>
  <w:footnote w:type="continuationSeparator" w:id="0">
    <w:p w14:paraId="66C7EF2C" w14:textId="77777777" w:rsidR="007A1A1E" w:rsidRDefault="007A1A1E">
      <w:r>
        <w:continuationSeparator/>
      </w:r>
    </w:p>
  </w:footnote>
  <w:footnote w:type="continuationNotice" w:id="1">
    <w:p w14:paraId="7513D171" w14:textId="77777777" w:rsidR="007A1A1E" w:rsidRDefault="007A1A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C202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08F1"/>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4F688A"/>
    <w:rsid w:val="00502D98"/>
    <w:rsid w:val="00503977"/>
    <w:rsid w:val="0050433C"/>
    <w:rsid w:val="00511ABB"/>
    <w:rsid w:val="00512085"/>
    <w:rsid w:val="00512568"/>
    <w:rsid w:val="0051719F"/>
    <w:rsid w:val="005215E4"/>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7D7"/>
    <w:rsid w:val="007778E1"/>
    <w:rsid w:val="00781E9D"/>
    <w:rsid w:val="007824BC"/>
    <w:rsid w:val="0078686F"/>
    <w:rsid w:val="0078706A"/>
    <w:rsid w:val="00796993"/>
    <w:rsid w:val="007A1A1E"/>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87C87"/>
    <w:rsid w:val="009930C2"/>
    <w:rsid w:val="0099492D"/>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0E4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A66"/>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paragraph" w:styleId="Heading4">
    <w:name w:val="heading 4"/>
    <w:basedOn w:val="Normal"/>
    <w:next w:val="Normal"/>
    <w:link w:val="Heading4Char"/>
    <w:uiPriority w:val="9"/>
    <w:semiHidden/>
    <w:unhideWhenUsed/>
    <w:qFormat/>
    <w:rsid w:val="003D08F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D08F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 w:type="character" w:customStyle="1" w:styleId="Heading4Char">
    <w:name w:val="Heading 4 Char"/>
    <w:basedOn w:val="DefaultParagraphFont"/>
    <w:link w:val="Heading4"/>
    <w:uiPriority w:val="9"/>
    <w:semiHidden/>
    <w:rsid w:val="003D08F1"/>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3D08F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boe.es/buscar/act.php?id=BOE-A-2022-2168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8796C"/>
    <w:rsid w:val="002A144F"/>
    <w:rsid w:val="0033289E"/>
    <w:rsid w:val="003921CE"/>
    <w:rsid w:val="0051719F"/>
    <w:rsid w:val="006619A5"/>
    <w:rsid w:val="00690D87"/>
    <w:rsid w:val="007777D7"/>
    <w:rsid w:val="007921F0"/>
    <w:rsid w:val="008645FF"/>
    <w:rsid w:val="00994D19"/>
    <w:rsid w:val="009B3DC3"/>
    <w:rsid w:val="00A10E4A"/>
    <w:rsid w:val="00E11C8C"/>
    <w:rsid w:val="00F309C3"/>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12</Pages>
  <Words>3219</Words>
  <Characters>17706</Characters>
  <Application>Microsoft Office Word</Application>
  <DocSecurity>0</DocSecurity>
  <Lines>147</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{CLIENTE}</Company>
  <LinksUpToDate>false</LinksUpToDate>
  <CharactersWithSpaces>20884</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3</cp:revision>
  <cp:lastPrinted>2026-07-06T15:47:00Z</cp:lastPrinted>
  <dcterms:created xsi:type="dcterms:W3CDTF">2026-07-06T15:52:00Z</dcterms:created>
  <dcterms:modified xsi:type="dcterms:W3CDTF">2026-07-07T09:59:00Z</dcterms:modified>
</cp:coreProperties>
</file>