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0"/>
        <w:jc w:val="center"/>
      </w:pPr>
      <w:r>
        <w:drawing>
          <wp:inline>
            <wp:extent cx="6748272" cy="8732520"/>
            <wp:effectExtent b="0" l="0" r="0" t="0"/>
            <wp:docPr descr="" title="" id="10" name="Picture"/>
            <a:graphic>
              <a:graphicData uri="http://schemas.openxmlformats.org/drawingml/2006/picture">
                <pic:pic>
                  <pic:nvPicPr>
                    <pic:cNvPr descr="docs/assets/rebuild-guide/premium-cover-page.png" id="11" name="Picture"/>
                    <pic:cNvPicPr>
                      <a:picLocks noChangeArrowheads="1" noChangeAspect="1"/>
                    </pic:cNvPicPr>
                  </pic:nvPicPr>
                  <pic:blipFill>
                    <a:blip r:embed="rId9"/>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3" name="Picture"/>
            <a:graphic>
              <a:graphicData uri="http://schemas.openxmlformats.org/drawingml/2006/picture">
                <pic:pic>
                  <pic:nvPicPr>
                    <pic:cNvPr descr="docs/assets/rebuild-guide/premium-how-to-page.png" id="14" name="Picture"/>
                    <pic:cNvPicPr>
                      <a:picLocks noChangeArrowheads="1" noChangeAspect="1"/>
                    </pic:cNvPicPr>
                  </pic:nvPicPr>
                  <pic:blipFill>
                    <a:blip r:embed="rId12"/>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6" name="Picture"/>
            <a:graphic>
              <a:graphicData uri="http://schemas.openxmlformats.org/drawingml/2006/picture">
                <pic:pic>
                  <pic:nvPicPr>
                    <pic:cNvPr descr="docs/assets/rebuild-guide/premium-executive-build-brief.png" id="17" name="Picture"/>
                    <pic:cNvPicPr>
                      <a:picLocks noChangeArrowheads="1" noChangeAspect="1"/>
                    </pic:cNvPicPr>
                  </pic:nvPicPr>
                  <pic:blipFill>
                    <a:blip r:embed="rId15"/>
                    <a:stretch>
                      <a:fillRect/>
                    </a:stretch>
                  </pic:blipFill>
                  <pic:spPr bwMode="auto">
                    <a:xfrm>
                      <a:off x="0" y="0"/>
                      <a:ext cx="6748272" cy="8732520"/>
                    </a:xfrm>
                    <a:prstGeom prst="rect">
                      <a:avLst/>
                    </a:prstGeom>
                    <a:noFill/>
                    <a:ln w="9525">
                      <a:noFill/>
                      <a:headEnd/>
                      <a:tailEnd/>
                    </a:ln>
                  </pic:spPr>
                </pic:pic>
              </a:graphicData>
            </a:graphic>
          </wp:inline>
        </w:drawing>
      </w:r>
    </w:p>
    <w:bookmarkStart w:id="21" w:name="what-you-are-building"/>
    <w:p>
      <w:pPr>
        <w:pStyle w:val="Heading1"/>
        <w:spacing w:before="0" w:after="0"/>
        <w:jc w:val="left"/>
      </w:pPr>
      <w:r>
        <w:t xml:space="preserve">1. What You Are Building</w:t>
      </w:r>
    </w:p>
    <w:p>
      <w:pPr>
        <w:pStyle w:val="FirstParagraph"/>
        <w:spacing w:before="0" w:after="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before="0" w:after="0"/>
      </w:pPr>
      <w:r>
        <w:t xml:space="preserve">The starter kit includes:</w:t>
      </w:r>
    </w:p>
    <w:p>
      <w:pPr>
        <w:pStyle w:val="Compact"/>
        <w:numPr>
          <w:ilvl w:val="0"/>
          <w:numId w:val="1001"/>
        </w:numPr>
      </w:pPr>
      <w:r>
        <w:t xml:space="preserve">Riyadh metro lines and bus routes on a browser map.</w:t>
      </w:r>
    </w:p>
    <w:p>
      <w:pPr>
        <w:pStyle w:val="Compact"/>
        <w:numPr>
          <w:ilvl w:val="0"/>
          <w:numId w:val="1001"/>
        </w:numPr>
      </w:pPr>
      <w:r>
        <w:t xml:space="preserve">District selection and district-level mobility scoring.</w:t>
      </w:r>
    </w:p>
    <w:p>
      <w:pPr>
        <w:pStyle w:val="Compact"/>
        <w:numPr>
          <w:ilvl w:val="0"/>
          <w:numId w:val="1001"/>
        </w:numPr>
      </w:pPr>
      <w:r>
        <w:t xml:space="preserve">Mock live mobility events such as delay or congestion markers.</w:t>
      </w:r>
    </w:p>
    <w:p>
      <w:pPr>
        <w:pStyle w:val="Compact"/>
        <w:numPr>
          <w:ilvl w:val="0"/>
          <w:numId w:val="1001"/>
        </w:numPr>
      </w:pPr>
      <w:r>
        <w:t xml:space="preserve">Fallback-aware data loading that works without Azure credentials.</w:t>
      </w:r>
    </w:p>
    <w:p>
      <w:pPr>
        <w:pStyle w:val="Compact"/>
        <w:numPr>
          <w:ilvl w:val="0"/>
          <w:numId w:val="1001"/>
        </w:numPr>
      </w:pPr>
      <w:r>
        <w:t xml:space="preserve">Optional Azure-backed deployment using Azure Maps, Blob Storage, Cosmos DB, Container Apps, and Application Insights.</w:t>
      </w:r>
    </w:p>
    <w:p>
      <w:pPr>
        <w:pStyle w:val="Compact"/>
        <w:numPr>
          <w:ilvl w:val="0"/>
          <w:numId w:val="1001"/>
        </w:numPr>
      </w:pPr>
      <w:r>
        <w:t xml:space="preserve">A reusable pattern for teams that want to replace the data and scoring logic with another urban intelligence use case.</w:t>
      </w:r>
    </w:p>
    <w:p>
      <w:pPr>
        <w:pStyle w:val="FirstParagraph"/>
      </w:pPr>
      <w:r>
        <w:t xml:space="preserve">The product story is intentionally simple:</w:t>
      </w:r>
    </w:p>
    <w:p>
      <w:pPr>
        <w:pStyle w:val="BlockText"/>
      </w:pPr>
      <w:r>
        <w:t xml:space="preserve">If a user selects a Riyadh district, can the app show nearby mobility infrastructure, explain route coverage, and turn that into a clear starter score?</w:t>
      </w:r>
    </w:p>
    <w:p>
      <w:pPr>
        <w:pStyle w:val="FirstParagraph"/>
      </w:pPr>
      <w:r>
        <w:t xml:space="preserve">The current score is a teachable proxy:</w:t>
      </w:r>
    </w:p>
    <w:p>
      <w:pPr>
        <w:pStyle w:val="SourceCode"/>
      </w:pPr>
      <w:r>
        <w:rPr>
          <w:rStyle w:val="VerbatimChar"/>
        </w:rPr>
        <w:t xml:space="preserve">score = (nearby metro count x 3) + nearby bus count - live delay penalty</w:t>
      </w:r>
    </w:p>
    <w:p>
      <w:pPr>
        <w:pStyle w:val="FirstParagraph"/>
      </w:pPr>
      <w:r>
        <w:t xml:space="preserve">This formula is not the final planning answer. It is a clear starting point for showing how data, scoring, API design, map layers, and Azure services connect.</w:t>
      </w:r>
    </w:p>
    <w:p>
      <w:pPr>
        <w:pStyle w:val="CaptionedFigure"/>
        <w:spacing w:before="60" w:after="100"/>
        <w:jc w:val="center"/>
      </w:pPr>
      <w:r>
        <w:drawing>
          <wp:inline>
            <wp:extent cx="5334000" cy="4741333"/>
            <wp:effectExtent b="0" l="0" r="0" t="0"/>
            <wp:docPr descr="Local dashboard screenshot" title="" id="19" name="Picture"/>
            <a:graphic>
              <a:graphicData uri="http://schemas.openxmlformats.org/drawingml/2006/picture">
                <pic:pic>
                  <pic:nvPicPr>
                    <pic:cNvPr descr="docs/assets/rebuild-guide/local-dashboard-overview.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Local dashboard screenshot</w:t>
      </w:r>
    </w:p>
    <w:p>
      <w:pPr>
        <w:pStyle w:val="BodyText"/>
        <w:jc w:val="center"/>
      </w:pPr>
      <w:r>
        <w:rPr>
          <w:i/>
          <w:iCs/>
          <w:color w:val="566982"/>
          <w:sz w:val="18"/>
        </w:rPr>
        <w:t xml:space="preserve">Figure: local dashboard running from bundled sample data with metro lines, bus routes, district selector, score panel, and Azure service explainer visible.</w:t>
      </w:r>
    </w:p>
    <w:bookmarkEnd w:id="21"/>
    <w:bookmarkStart w:id="28" w:name="urban-challenge-track-mapping"/>
    <w:p>
      <w:pPr>
        <w:pStyle w:val="Heading1"/>
        <w:jc w:val="left"/>
      </w:pPr>
      <w:r>
        <w:t xml:space="preserve">2. Urban Challenge Track Mapping</w:t>
      </w:r>
    </w:p>
    <w:p>
      <w:pPr>
        <w:pStyle w:val="FirstParagraph"/>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pPr>
      <w:r>
        <w:t xml:space="preserve">Sustainable Solutions and Culture should be treated as extension routes after the core app works.</w:t>
      </w:r>
    </w:p>
    <w:p>
      <w:pPr>
        <w:pStyle w:val="BodyText"/>
      </w:pPr>
      <w:r>
        <w:t xml:space="preserve">Builder pitch:</w:t>
      </w:r>
    </w:p>
    <w:p>
      <w:pPr>
        <w:pStyle w:val="SourceCode"/>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p>
      <w:pPr>
        <w:pStyle w:val="FirstParagraph"/>
        <w:spacing w:before="60" w:after="100"/>
        <w:jc w:val="center"/>
      </w:pPr>
      <w:r>
        <w:drawing>
          <wp:inline>
            <wp:extent cx="6748272" cy="8732520"/>
            <wp:effectExtent b="0" l="0" r="0" t="0"/>
            <wp:docPr descr="" title="" id="23" name="Picture"/>
            <a:graphic>
              <a:graphicData uri="http://schemas.openxmlformats.org/drawingml/2006/picture">
                <pic:pic>
                  <pic:nvPicPr>
                    <pic:cNvPr descr="docs/assets/rebuild-guide/premium-services-tools-matrix.png" id="24" name="Picture"/>
                    <pic:cNvPicPr>
                      <a:picLocks noChangeArrowheads="1" noChangeAspect="1"/>
                    </pic:cNvPicPr>
                  </pic:nvPicPr>
                  <pic:blipFill>
                    <a:blip r:embed="rId22"/>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60" w:after="100"/>
        <w:jc w:val="center"/>
      </w:pPr>
      <w:r>
        <w:drawing>
          <wp:inline>
            <wp:extent cx="6748272" cy="8732520"/>
            <wp:effectExtent b="0" l="0" r="0" t="0"/>
            <wp:docPr descr="" title="" id="26" name="Picture"/>
            <a:graphic>
              <a:graphicData uri="http://schemas.openxmlformats.org/drawingml/2006/picture">
                <pic:pic>
                  <pic:nvPicPr>
                    <pic:cNvPr descr="docs/assets/rebuild-guide/premium-architecture-blueprint.png" id="27" name="Picture"/>
                    <pic:cNvPicPr>
                      <a:picLocks noChangeArrowheads="1" noChangeAspect="1"/>
                    </pic:cNvPicPr>
                  </pic:nvPicPr>
                  <pic:blipFill>
                    <a:blip r:embed="rId25"/>
                    <a:stretch>
                      <a:fillRect/>
                    </a:stretch>
                  </pic:blipFill>
                  <pic:spPr bwMode="auto">
                    <a:xfrm>
                      <a:off x="0" y="0"/>
                      <a:ext cx="6748272" cy="8732520"/>
                    </a:xfrm>
                    <a:prstGeom prst="rect">
                      <a:avLst/>
                    </a:prstGeom>
                    <a:noFill/>
                    <a:ln w="9525">
                      <a:noFill/>
                      <a:headEnd/>
                      <a:tailEnd/>
                    </a:ln>
                  </pic:spPr>
                </pic:pic>
              </a:graphicData>
            </a:graphic>
          </wp:inline>
        </w:drawing>
      </w:r>
    </w:p>
    <w:bookmarkEnd w:id="28"/>
    <w:bookmarkStart w:id="41" w:name="architecture-and-build-path"/>
    <w:p>
      <w:pPr>
        <w:pStyle w:val="Heading1"/>
        <w:jc w:val="left"/>
      </w:pPr>
      <w:r>
        <w:t xml:space="preserve">3. Architecture and Build Path</w:t>
      </w:r>
    </w:p>
    <w:p>
      <w:pPr>
        <w:pStyle w:val="FirstParagraph"/>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32" w:name="local-first-workflow"/>
    <w:p>
      <w:pPr>
        <w:pStyle w:val="Heading2"/>
        <w:jc w:val="left"/>
      </w:pPr>
      <w:r>
        <w:t xml:space="preserve">Local-First Workflow</w:t>
      </w:r>
    </w:p>
    <w:p>
      <w:pPr>
        <w:pStyle w:val="FirstParagraph"/>
      </w:pPr>
      <w:r>
        <w:t xml:space="preserve">Local mode is the first build milestone. It should work on a builder laptop with no Azure account configured.</w:t>
      </w:r>
    </w:p>
    <w:p>
      <w:pPr>
        <w:pStyle w:val="CaptionedFigure"/>
        <w:spacing w:before="60" w:after="100"/>
        <w:jc w:val="center"/>
      </w:pPr>
      <w:r>
        <w:drawing>
          <wp:inline>
            <wp:extent cx="5334000" cy="1540933"/>
            <wp:effectExtent b="0" l="0" r="0" t="0"/>
            <wp:docPr descr="Local-first workflow" title="" id="30" name="Picture"/>
            <a:graphic>
              <a:graphicData uri="http://schemas.openxmlformats.org/drawingml/2006/picture">
                <pic:pic>
                  <pic:nvPicPr>
                    <pic:cNvPr descr="docs/assets/rebuild-guide/diagram-local-first.png" id="31" name="Picture"/>
                    <pic:cNvPicPr>
                      <a:picLocks noChangeArrowheads="1" noChangeAspect="1"/>
                    </pic:cNvPicPr>
                  </pic:nvPicPr>
                  <pic:blipFill>
                    <a:blip r:embed="rId29"/>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Local-first workflow</w:t>
      </w:r>
    </w:p>
    <w:p>
      <w:pPr>
        <w:pStyle w:val="BodyText"/>
      </w:pPr>
      <w:r>
        <w:t xml:space="preserve">Local mode uses the same UI and API shape that the cloud deployment uses. The difference is the data source: bundled sample files replace cloud-backed records.</w:t>
      </w:r>
    </w:p>
    <w:bookmarkEnd w:id="32"/>
    <w:bookmarkStart w:id="36" w:name="azure-backed-workflow"/>
    <w:p>
      <w:pPr>
        <w:pStyle w:val="Heading2"/>
        <w:jc w:val="left"/>
      </w:pPr>
      <w:r>
        <w:t xml:space="preserve">Azure-Backed Workflow</w:t>
      </w:r>
    </w:p>
    <w:p>
      <w:pPr>
        <w:pStyle w:val="FirstParagraph"/>
      </w:pPr>
      <w:r>
        <w:t xml:space="preserve">When deployed, the same containerized app runs in Azure Container Apps and can connect to Azure services for maps, storage, records, and monitoring.</w:t>
      </w:r>
    </w:p>
    <w:p>
      <w:pPr>
        <w:pStyle w:val="CaptionedFigure"/>
        <w:spacing w:before="60" w:after="100"/>
        <w:jc w:val="center"/>
      </w:pPr>
      <w:r>
        <w:drawing>
          <wp:inline>
            <wp:extent cx="5334000" cy="1540933"/>
            <wp:effectExtent b="0" l="0" r="0" t="0"/>
            <wp:docPr descr="Azure-backed workflow" title="" id="34" name="Picture"/>
            <a:graphic>
              <a:graphicData uri="http://schemas.openxmlformats.org/drawingml/2006/picture">
                <pic:pic>
                  <pic:nvPicPr>
                    <pic:cNvPr descr="docs/assets/rebuild-guide/diagram-azure-backed.png" id="35" name="Picture"/>
                    <pic:cNvPicPr>
                      <a:picLocks noChangeArrowheads="1" noChangeAspect="1"/>
                    </pic:cNvPicPr>
                  </pic:nvPicPr>
                  <pic:blipFill>
                    <a:blip r:embed="rId3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Azure-backed workflow</w:t>
      </w:r>
    </w:p>
    <w:p>
      <w:pPr>
        <w:pStyle w:val="BodyText"/>
      </w:pPr>
      <w:r>
        <w:t xml:space="preserve">Use this path when the team is ready to show a credible cloud deployment or run post-deploy smoke tests.</w:t>
      </w:r>
    </w:p>
    <w:bookmarkEnd w:id="36"/>
    <w:bookmarkStart w:id="40" w:name="data-fallback-chain"/>
    <w:p>
      <w:pPr>
        <w:pStyle w:val="Heading2"/>
        <w:jc w:val="left"/>
      </w:pPr>
      <w:r>
        <w:t xml:space="preserve">Data Fallback Chain</w:t>
      </w:r>
    </w:p>
    <w:p>
      <w:pPr>
        <w:pStyle w:val="FirstParagraph"/>
      </w:pPr>
      <w:r>
        <w:t xml:space="preserve">The app should not fail just because cloud data is missing. Data access is intentionally fallback-aware.</w:t>
      </w:r>
    </w:p>
    <w:p>
      <w:pPr>
        <w:pStyle w:val="CaptionedFigure"/>
        <w:spacing w:before="60" w:after="100"/>
        <w:jc w:val="center"/>
      </w:pPr>
      <w:r>
        <w:drawing>
          <wp:inline>
            <wp:extent cx="5334000" cy="1540933"/>
            <wp:effectExtent b="0" l="0" r="0" t="0"/>
            <wp:docPr descr="Data fallback chain" title="" id="38" name="Picture"/>
            <a:graphic>
              <a:graphicData uri="http://schemas.openxmlformats.org/drawingml/2006/picture">
                <pic:pic>
                  <pic:nvPicPr>
                    <pic:cNvPr descr="docs/assets/rebuild-guide/diagram-data-fallback.png" id="39" name="Picture"/>
                    <pic:cNvPicPr>
                      <a:picLocks noChangeArrowheads="1" noChangeAspect="1"/>
                    </pic:cNvPicPr>
                  </pic:nvPicPr>
                  <pic:blipFill>
                    <a:blip r:embed="rId37"/>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Data fallback chain</w:t>
      </w:r>
    </w:p>
    <w:p>
      <w:pPr>
        <w:pStyle w:val="BodyText"/>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40"/>
    <w:bookmarkEnd w:id="41"/>
    <w:bookmarkStart w:id="46" w:name="project-structure"/>
    <w:p>
      <w:pPr>
        <w:pStyle w:val="Heading1"/>
        <w:jc w:val="left"/>
      </w:pPr>
      <w:r>
        <w:t xml:space="preserve">4. Project Structure</w:t>
      </w:r>
    </w:p>
    <w:p>
      <w:pPr>
        <w:pStyle w:val="FirstParagraph"/>
      </w:pPr>
      <w:r>
        <w:t xml:space="preserve">Start with the app shell, API, frontend, sample data, deployment files, and tests.</w:t>
      </w:r>
    </w:p>
    <w:p>
      <w:pPr>
        <w:pStyle w:val="SourceCode"/>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Area</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Start here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Backend entrypoints</w:t>
            </w:r>
          </w:p>
        </w:tc>
        <w:tc>
          <w:tcPr>
            <w:vAlign w:val="center"/>
            <w:tcMar>
              <w:top w:w="120" w:type="dxa"/>
              <w:bottom w:w="120" w:type="dxa"/>
              <w:left w:w="150" w:type="dxa"/>
              <w:right w:w="150" w:type="dxa"/>
            </w:tcMar>
          </w:tcPr>
          <w:p>
            <w:pPr>
              <w:pStyle w:val="Compact"/>
              <w:spacing w:after="40"/>
            </w:pPr>
            <w:r>
              <w:rPr>
                <w:rStyle w:val="VerbatimChar"/>
                <w:sz w:val="18"/>
              </w:rPr>
              <w:t xml:space="preserve">app/main.py</w:t>
            </w:r>
            <w:r>
              <w:rPr>
                <w:sz w:val="18"/>
              </w:rPr>
              <w:t xml:space="preserve">,</w:t>
            </w:r>
            <w:r>
              <w:rPr>
                <w:sz w:val="18"/>
              </w:rPr>
              <w:t xml:space="preserve"> </w:t>
            </w:r>
            <w:r>
              <w:rPr>
                <w:rStyle w:val="VerbatimChar"/>
                <w:sz w:val="18"/>
              </w:rPr>
              <w:t xml:space="preserve">app/routes.py</w:t>
            </w:r>
          </w:p>
        </w:tc>
        <w:tc>
          <w:tcPr>
            <w:vAlign w:val="center"/>
            <w:tcMar>
              <w:top w:w="120" w:type="dxa"/>
              <w:bottom w:w="120" w:type="dxa"/>
              <w:left w:w="150" w:type="dxa"/>
              <w:right w:w="150" w:type="dxa"/>
            </w:tcMar>
          </w:tcPr>
          <w:p>
            <w:pPr>
              <w:pStyle w:val="Compact"/>
              <w:spacing w:after="40"/>
            </w:pPr>
            <w:r>
              <w:rPr>
                <w:sz w:val="18"/>
              </w:rPr>
              <w:t xml:space="preserve">FastAPI app shell, static serving, API contract</w:t>
            </w:r>
          </w:p>
        </w:tc>
      </w:tr>
      <w:tr>
        <w:tc>
          <w:tcPr>
            <w:vAlign w:val="center"/>
            <w:tcMar>
              <w:top w:w="120" w:type="dxa"/>
              <w:bottom w:w="120" w:type="dxa"/>
              <w:left w:w="150" w:type="dxa"/>
              <w:right w:w="150" w:type="dxa"/>
            </w:tcMar>
          </w:tcPr>
          <w:p>
            <w:pPr>
              <w:pStyle w:val="Compact"/>
              <w:spacing w:after="40"/>
            </w:pPr>
            <w:r>
              <w:rPr>
                <w:sz w:val="18"/>
              </w:rPr>
              <w:t xml:space="preserve">Data loading</w:t>
            </w:r>
          </w:p>
        </w:tc>
        <w:tc>
          <w:tcPr>
            <w:vAlign w:val="center"/>
            <w:tcMar>
              <w:top w:w="120" w:type="dxa"/>
              <w:bottom w:w="120" w:type="dxa"/>
              <w:left w:w="150" w:type="dxa"/>
              <w:right w:w="150" w:type="dxa"/>
            </w:tcMar>
          </w:tcPr>
          <w:p>
            <w:pPr>
              <w:pStyle w:val="Compact"/>
              <w:spacing w:after="40"/>
            </w:pPr>
            <w:r>
              <w:rPr>
                <w:rStyle w:val="VerbatimChar"/>
                <w:sz w:val="18"/>
              </w:rPr>
              <w:t xml:space="preserve">app/data_access.py</w:t>
            </w:r>
            <w:r>
              <w:rPr>
                <w:sz w:val="18"/>
              </w:rPr>
              <w:t xml:space="preserve">,</w:t>
            </w:r>
            <w:r>
              <w:rPr>
                <w:sz w:val="18"/>
              </w:rPr>
              <w:t xml:space="preserve"> </w:t>
            </w:r>
            <w:r>
              <w:rPr>
                <w:rStyle w:val="VerbatimChar"/>
                <w:sz w:val="18"/>
              </w:rPr>
              <w:t xml:space="preserve">app/static/sample-data/</w:t>
            </w:r>
          </w:p>
        </w:tc>
        <w:tc>
          <w:tcPr>
            <w:vAlign w:val="center"/>
            <w:tcMar>
              <w:top w:w="120" w:type="dxa"/>
              <w:bottom w:w="120" w:type="dxa"/>
              <w:left w:w="150" w:type="dxa"/>
              <w:right w:w="150" w:type="dxa"/>
            </w:tcMar>
          </w:tcPr>
          <w:p>
            <w:pPr>
              <w:pStyle w:val="Compact"/>
              <w:spacing w:after="40"/>
            </w:pPr>
            <w:r>
              <w:rPr>
                <w:sz w:val="18"/>
              </w:rPr>
              <w:t xml:space="preserve">sample, Blob, and Cosmos fallback behavior</w:t>
            </w:r>
          </w:p>
        </w:tc>
      </w:tr>
      <w:tr>
        <w:tc>
          <w:tcPr>
            <w:vAlign w:val="center"/>
            <w:tcMar>
              <w:top w:w="120" w:type="dxa"/>
              <w:bottom w:w="120" w:type="dxa"/>
              <w:left w:w="150" w:type="dxa"/>
              <w:right w:w="150" w:type="dxa"/>
            </w:tcMar>
          </w:tcPr>
          <w:p>
            <w:pPr>
              <w:pStyle w:val="Compact"/>
              <w:spacing w:after="40"/>
            </w:pPr>
            <w:r>
              <w:rPr>
                <w:sz w:val="18"/>
              </w:rPr>
              <w:t xml:space="preserve">Score formula</w:t>
            </w:r>
          </w:p>
        </w:tc>
        <w:tc>
          <w:tcPr>
            <w:vAlign w:val="center"/>
            <w:tcMar>
              <w:top w:w="120" w:type="dxa"/>
              <w:bottom w:w="120" w:type="dxa"/>
              <w:left w:w="150" w:type="dxa"/>
              <w:right w:w="150" w:type="dxa"/>
            </w:tcMar>
          </w:tcPr>
          <w:p>
            <w:pPr>
              <w:pStyle w:val="Compact"/>
              <w:spacing w:after="40"/>
            </w:pPr>
            <w:r>
              <w:rPr>
                <w:rStyle w:val="VerbatimChar"/>
                <w:sz w:val="18"/>
              </w:rPr>
              <w:t xml:space="preserve">app/scoring.py</w:t>
            </w:r>
          </w:p>
        </w:tc>
        <w:tc>
          <w:tcPr>
            <w:vAlign w:val="center"/>
            <w:tcMar>
              <w:top w:w="120" w:type="dxa"/>
              <w:bottom w:w="120" w:type="dxa"/>
              <w:left w:w="150" w:type="dxa"/>
              <w:right w:w="150" w:type="dxa"/>
            </w:tcMar>
          </w:tcPr>
          <w:p>
            <w:pPr>
              <w:pStyle w:val="Compact"/>
              <w:spacing w:after="40"/>
            </w:pPr>
            <w:r>
              <w:rPr>
                <w:sz w:val="18"/>
              </w:rPr>
              <w:t xml:space="preserve">transparent scoring logic that teams can adapt</w:t>
            </w:r>
          </w:p>
        </w:tc>
      </w:tr>
      <w:tr>
        <w:tc>
          <w:tcPr>
            <w:vAlign w:val="center"/>
            <w:tcMar>
              <w:top w:w="120" w:type="dxa"/>
              <w:bottom w:w="120" w:type="dxa"/>
              <w:left w:w="150" w:type="dxa"/>
              <w:right w:w="150" w:type="dxa"/>
            </w:tcMar>
          </w:tcPr>
          <w:p>
            <w:pPr>
              <w:pStyle w:val="Compact"/>
              <w:spacing w:after="40"/>
            </w:pPr>
            <w:r>
              <w:rPr>
                <w:sz w:val="18"/>
              </w:rPr>
              <w:t xml:space="preserve">Frontend</w:t>
            </w:r>
          </w:p>
        </w:tc>
        <w:tc>
          <w:tcPr>
            <w:vAlign w:val="center"/>
            <w:tcMar>
              <w:top w:w="120" w:type="dxa"/>
              <w:bottom w:w="120" w:type="dxa"/>
              <w:left w:w="150" w:type="dxa"/>
              <w:right w:w="150" w:type="dxa"/>
            </w:tcMar>
          </w:tcPr>
          <w:p>
            <w:pPr>
              <w:pStyle w:val="Compact"/>
              <w:spacing w:after="40"/>
            </w:pPr>
            <w:r>
              <w:rPr>
                <w:rStyle w:val="VerbatimChar"/>
                <w:sz w:val="18"/>
              </w:rPr>
              <w:t xml:space="preserve">app/static/index.html</w:t>
            </w:r>
            <w:r>
              <w:rPr>
                <w:sz w:val="18"/>
              </w:rPr>
              <w:t xml:space="preserve">,</w:t>
            </w:r>
            <w:r>
              <w:rPr>
                <w:sz w:val="18"/>
              </w:rPr>
              <w:t xml:space="preserve"> </w:t>
            </w:r>
            <w:r>
              <w:rPr>
                <w:rStyle w:val="VerbatimChar"/>
                <w:sz w:val="18"/>
              </w:rPr>
              <w:t xml:space="preserve">app/static/src/main.js</w:t>
            </w:r>
          </w:p>
        </w:tc>
        <w:tc>
          <w:tcPr>
            <w:vAlign w:val="center"/>
            <w:tcMar>
              <w:top w:w="120" w:type="dxa"/>
              <w:bottom w:w="120" w:type="dxa"/>
              <w:left w:w="150" w:type="dxa"/>
              <w:right w:w="150" w:type="dxa"/>
            </w:tcMar>
          </w:tcPr>
          <w:p>
            <w:pPr>
              <w:pStyle w:val="Compact"/>
              <w:spacing w:after="40"/>
            </w:pPr>
            <w:r>
              <w:rPr>
                <w:sz w:val="18"/>
              </w:rPr>
              <w:t xml:space="preserve">page shell, boot sequence, API orchestration</w:t>
            </w:r>
          </w:p>
        </w:tc>
      </w:tr>
      <w:tr>
        <w:tc>
          <w:tcPr>
            <w:vAlign w:val="center"/>
            <w:tcMar>
              <w:top w:w="120" w:type="dxa"/>
              <w:bottom w:w="120" w:type="dxa"/>
              <w:left w:w="150" w:type="dxa"/>
              <w:right w:w="150" w:type="dxa"/>
            </w:tcMar>
          </w:tcPr>
          <w:p>
            <w:pPr>
              <w:pStyle w:val="Compact"/>
              <w:spacing w:after="40"/>
            </w:pPr>
            <w:r>
              <w:rPr>
                <w:sz w:val="18"/>
              </w:rPr>
              <w:t xml:space="preserve">Map behavior</w:t>
            </w:r>
          </w:p>
        </w:tc>
        <w:tc>
          <w:tcPr>
            <w:vAlign w:val="center"/>
            <w:tcMar>
              <w:top w:w="120" w:type="dxa"/>
              <w:bottom w:w="120" w:type="dxa"/>
              <w:left w:w="150" w:type="dxa"/>
              <w:right w:w="150" w:type="dxa"/>
            </w:tcMar>
          </w:tcPr>
          <w:p>
            <w:pPr>
              <w:pStyle w:val="Compact"/>
              <w:spacing w:after="40"/>
            </w:pPr>
            <w:r>
              <w:rPr>
                <w:rStyle w:val="VerbatimChar"/>
                <w:sz w:val="18"/>
              </w:rPr>
              <w:t xml:space="preserve">app/static/src/map.js</w:t>
            </w:r>
            <w:r>
              <w:rPr>
                <w:sz w:val="18"/>
              </w:rPr>
              <w:t xml:space="preserve">,</w:t>
            </w:r>
            <w:r>
              <w:rPr>
                <w:sz w:val="18"/>
              </w:rPr>
              <w:t xml:space="preserve"> </w:t>
            </w:r>
            <w:r>
              <w:rPr>
                <w:rStyle w:val="VerbatimChar"/>
                <w:sz w:val="18"/>
              </w:rPr>
              <w:t xml:space="preserve">app/static/src/layers.js</w:t>
            </w:r>
          </w:p>
        </w:tc>
        <w:tc>
          <w:tcPr>
            <w:vAlign w:val="center"/>
            <w:tcMar>
              <w:top w:w="120" w:type="dxa"/>
              <w:bottom w:w="120" w:type="dxa"/>
              <w:left w:w="150" w:type="dxa"/>
              <w:right w:w="150" w:type="dxa"/>
            </w:tcMar>
          </w:tcPr>
          <w:p>
            <w:pPr>
              <w:pStyle w:val="Compact"/>
              <w:spacing w:after="40"/>
            </w:pPr>
            <w:r>
              <w:rPr>
                <w:sz w:val="18"/>
              </w:rPr>
              <w:t xml:space="preserve">Azure Maps path, local fallback, overlays</w:t>
            </w:r>
          </w:p>
        </w:tc>
      </w:tr>
      <w:tr>
        <w:tc>
          <w:tcPr>
            <w:vAlign w:val="center"/>
            <w:tcMar>
              <w:top w:w="120" w:type="dxa"/>
              <w:bottom w:w="120" w:type="dxa"/>
              <w:left w:w="150" w:type="dxa"/>
              <w:right w:w="150" w:type="dxa"/>
            </w:tcMar>
          </w:tcPr>
          <w:p>
            <w:pPr>
              <w:pStyle w:val="Compact"/>
              <w:spacing w:after="40"/>
            </w:pPr>
            <w:r>
              <w:rPr>
                <w:sz w:val="18"/>
              </w:rPr>
              <w:t xml:space="preserve">Deployment</w:t>
            </w:r>
          </w:p>
        </w:tc>
        <w:tc>
          <w:tcPr>
            <w:vAlign w:val="center"/>
            <w:tcMar>
              <w:top w:w="120" w:type="dxa"/>
              <w:bottom w:w="120" w:type="dxa"/>
              <w:left w:w="150" w:type="dxa"/>
              <w:right w:w="150" w:type="dxa"/>
            </w:tcMar>
          </w:tcPr>
          <w:p>
            <w:pPr>
              <w:pStyle w:val="Compact"/>
              <w:spacing w:after="40"/>
            </w:pPr>
            <w:r>
              <w:rPr>
                <w:rStyle w:val="VerbatimChar"/>
                <w:sz w:val="18"/>
              </w:rPr>
              <w:t xml:space="preserve">azure.yaml</w:t>
            </w:r>
            <w:r>
              <w:rPr>
                <w:sz w:val="18"/>
              </w:rPr>
              <w:t xml:space="preserve">,</w:t>
            </w:r>
            <w:r>
              <w:rPr>
                <w:sz w:val="18"/>
              </w:rPr>
              <w:t xml:space="preserve"> </w:t>
            </w:r>
            <w:r>
              <w:rPr>
                <w:rStyle w:val="VerbatimChar"/>
                <w:sz w:val="18"/>
              </w:rPr>
              <w:t xml:space="preserve">infra/main.bicep</w:t>
            </w:r>
            <w:r>
              <w:rPr>
                <w:sz w:val="18"/>
              </w:rPr>
              <w:t xml:space="preserve">,</w:t>
            </w:r>
            <w:r>
              <w:rPr>
                <w:sz w:val="18"/>
              </w:rPr>
              <w:t xml:space="preserve"> </w:t>
            </w:r>
            <w:r>
              <w:rPr>
                <w:rStyle w:val="VerbatimChar"/>
                <w:sz w:val="18"/>
              </w:rPr>
              <w:t xml:space="preserve">scripts/deploy_azure.sh</w:t>
            </w:r>
          </w:p>
        </w:tc>
        <w:tc>
          <w:tcPr>
            <w:vAlign w:val="center"/>
            <w:tcMar>
              <w:top w:w="120" w:type="dxa"/>
              <w:bottom w:w="120" w:type="dxa"/>
              <w:left w:w="150" w:type="dxa"/>
              <w:right w:w="150" w:type="dxa"/>
            </w:tcMar>
          </w:tcPr>
          <w:p>
            <w:pPr>
              <w:pStyle w:val="Compact"/>
              <w:spacing w:after="40"/>
            </w:pPr>
            <w:r>
              <w:rPr>
                <w:sz w:val="18"/>
              </w:rPr>
              <w:t xml:space="preserve">cloud-live path</w:t>
            </w:r>
          </w:p>
        </w:tc>
      </w:tr>
      <w:tr>
        <w:tc>
          <w:tcPr>
            <w:vAlign w:val="center"/>
            <w:tcMar>
              <w:top w:w="120" w:type="dxa"/>
              <w:bottom w:w="120" w:type="dxa"/>
              <w:left w:w="150" w:type="dxa"/>
              <w:right w:w="150" w:type="dxa"/>
            </w:tcMar>
          </w:tcPr>
          <w:p>
            <w:pPr>
              <w:pStyle w:val="Compact"/>
              <w:spacing w:after="40"/>
            </w:pPr>
            <w:r>
              <w:rPr>
                <w:sz w:val="18"/>
              </w:rPr>
              <w:t xml:space="preserve">Tests</w:t>
            </w:r>
          </w:p>
        </w:tc>
        <w:tc>
          <w:tcPr>
            <w:vAlign w:val="center"/>
            <w:tcMar>
              <w:top w:w="120" w:type="dxa"/>
              <w:bottom w:w="120" w:type="dxa"/>
              <w:left w:w="150" w:type="dxa"/>
              <w:right w:w="150" w:type="dxa"/>
            </w:tcMar>
          </w:tcPr>
          <w:p>
            <w:pPr>
              <w:pStyle w:val="Compact"/>
              <w:spacing w:after="40"/>
            </w:pPr>
            <w:r>
              <w:rPr>
                <w:rStyle w:val="VerbatimChar"/>
                <w:sz w:val="18"/>
              </w:rPr>
              <w:t xml:space="preserve">tests/</w:t>
            </w:r>
          </w:p>
        </w:tc>
        <w:tc>
          <w:tcPr>
            <w:vAlign w:val="center"/>
            <w:tcMar>
              <w:top w:w="120" w:type="dxa"/>
              <w:bottom w:w="120" w:type="dxa"/>
              <w:left w:w="150" w:type="dxa"/>
              <w:right w:w="150" w:type="dxa"/>
            </w:tcMar>
          </w:tcPr>
          <w:p>
            <w:pPr>
              <w:pStyle w:val="Compact"/>
              <w:spacing w:after="40"/>
            </w:pPr>
            <w:r>
              <w:rPr>
                <w:sz w:val="18"/>
              </w:rPr>
              <w:t xml:space="preserve">API, data-shape, health, and scoring checks</w:t>
            </w:r>
          </w:p>
        </w:tc>
      </w:tr>
    </w:tbl>
    <w:bookmarkStart w:id="45" w:name="where-the-data-comes-from"/>
    <w:p>
      <w:pPr>
        <w:pStyle w:val="Heading2"/>
        <w:jc w:val="left"/>
      </w:pPr>
      <w:r>
        <w:t xml:space="preserve">Where the Data Comes From</w:t>
      </w:r>
    </w:p>
    <w:p>
      <w:pPr>
        <w:pStyle w:val="FirstParagraph"/>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File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Contents</w:t>
            </w:r>
          </w:p>
        </w:tc>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Records</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riyadh_metro_lines_sample.geojson</w:t>
            </w:r>
          </w:p>
        </w:tc>
        <w:tc>
          <w:tcPr>
            <w:vAlign w:val="center"/>
            <w:tcMar>
              <w:top w:w="120" w:type="dxa"/>
              <w:bottom w:w="120" w:type="dxa"/>
              <w:left w:w="150" w:type="dxa"/>
              <w:right w:w="150" w:type="dxa"/>
            </w:tcMar>
          </w:tcPr>
          <w:p>
            <w:pPr>
              <w:pStyle w:val="Compact"/>
              <w:spacing w:after="40"/>
            </w:pPr>
            <w:r>
              <w:rPr>
                <w:sz w:val="18"/>
              </w:rPr>
              <w:t xml:space="preserve">Metro line features with names, colors, and geometry</w:t>
            </w:r>
          </w:p>
        </w:tc>
        <w:tc>
          <w:tcPr>
            <w:vAlign w:val="center"/>
            <w:tcMar>
              <w:top w:w="120" w:type="dxa"/>
              <w:bottom w:w="120" w:type="dxa"/>
              <w:left w:w="150" w:type="dxa"/>
              <w:right w:w="150" w:type="dxa"/>
            </w:tcMar>
          </w:tcPr>
          <w:p>
            <w:pPr>
              <w:pStyle w:val="Compact"/>
              <w:spacing w:after="40"/>
              <w:jc w:val="right"/>
            </w:pPr>
            <w:r>
              <w:rPr>
                <w:sz w:val="18"/>
              </w:rPr>
              <w:t xml:space="preserve">6</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riyadh_bus_routes_sample.geojson</w:t>
            </w:r>
          </w:p>
        </w:tc>
        <w:tc>
          <w:tcPr>
            <w:vAlign w:val="center"/>
            <w:tcMar>
              <w:top w:w="120" w:type="dxa"/>
              <w:bottom w:w="120" w:type="dxa"/>
              <w:left w:w="150" w:type="dxa"/>
              <w:right w:w="150" w:type="dxa"/>
            </w:tcMar>
          </w:tcPr>
          <w:p>
            <w:pPr>
              <w:pStyle w:val="Compact"/>
              <w:spacing w:after="40"/>
            </w:pPr>
            <w:r>
              <w:rPr>
                <w:sz w:val="18"/>
              </w:rPr>
              <w:t xml:space="preserve">Bus route features with route IDs and geometry</w:t>
            </w:r>
          </w:p>
        </w:tc>
        <w:tc>
          <w:tcPr>
            <w:vAlign w:val="center"/>
            <w:tcMar>
              <w:top w:w="120" w:type="dxa"/>
              <w:bottom w:w="120" w:type="dxa"/>
              <w:left w:w="150" w:type="dxa"/>
              <w:right w:w="150" w:type="dxa"/>
            </w:tcMar>
          </w:tcPr>
          <w:p>
            <w:pPr>
              <w:pStyle w:val="Compact"/>
              <w:spacing w:after="40"/>
              <w:jc w:val="right"/>
            </w:pPr>
            <w:r>
              <w:rPr>
                <w:sz w:val="18"/>
              </w:rPr>
              <w:t xml:space="preserve">100</w:t>
            </w:r>
          </w:p>
        </w:tc>
      </w:tr>
      <w:tr>
        <w:tc>
          <w:tcPr>
            <w:vAlign w:val="center"/>
            <w:tcMar>
              <w:top w:w="120" w:type="dxa"/>
              <w:bottom w:w="120" w:type="dxa"/>
              <w:left w:w="150" w:type="dxa"/>
              <w:right w:w="150" w:type="dxa"/>
            </w:tcMar>
          </w:tcPr>
          <w:p>
            <w:pPr>
              <w:pStyle w:val="Compact"/>
              <w:spacing w:after="40"/>
            </w:pPr>
            <w:r>
              <w:rPr>
                <w:rStyle w:val="VerbatimChar"/>
                <w:sz w:val="18"/>
              </w:rPr>
              <w:t xml:space="preserve">district_centers_sample.geojson</w:t>
            </w:r>
          </w:p>
        </w:tc>
        <w:tc>
          <w:tcPr>
            <w:vAlign w:val="center"/>
            <w:tcMar>
              <w:top w:w="120" w:type="dxa"/>
              <w:bottom w:w="120" w:type="dxa"/>
              <w:left w:w="150" w:type="dxa"/>
              <w:right w:w="150" w:type="dxa"/>
            </w:tcMar>
          </w:tcPr>
          <w:p>
            <w:pPr>
              <w:pStyle w:val="Compact"/>
              <w:spacing w:after="40"/>
            </w:pPr>
            <w:r>
              <w:rPr>
                <w:sz w:val="18"/>
              </w:rPr>
              <w:t xml:space="preserve">Riyadh district center points with English and Arabic names</w:t>
            </w:r>
          </w:p>
        </w:tc>
        <w:tc>
          <w:tcPr>
            <w:vAlign w:val="center"/>
            <w:tcMar>
              <w:top w:w="120" w:type="dxa"/>
              <w:bottom w:w="120" w:type="dxa"/>
              <w:left w:w="150" w:type="dxa"/>
              <w:right w:w="150" w:type="dxa"/>
            </w:tcMar>
          </w:tcPr>
          <w:p>
            <w:pPr>
              <w:pStyle w:val="Compact"/>
              <w:spacing w:after="40"/>
              <w:jc w:val="right"/>
            </w:pPr>
            <w:r>
              <w:rPr>
                <w:sz w:val="18"/>
              </w:rPr>
              <w:t xml:space="preserve">10</w:t>
            </w:r>
          </w:p>
        </w:tc>
      </w:tr>
      <w:tr>
        <w:tc>
          <w:tcPr>
            <w:vAlign w:val="center"/>
            <w:tcMar>
              <w:top w:w="120" w:type="dxa"/>
              <w:bottom w:w="120" w:type="dxa"/>
              <w:left w:w="150" w:type="dxa"/>
              <w:right w:w="150" w:type="dxa"/>
            </w:tcMar>
          </w:tcPr>
          <w:p>
            <w:pPr>
              <w:pStyle w:val="Compact"/>
              <w:spacing w:after="40"/>
            </w:pPr>
            <w:r>
              <w:rPr>
                <w:rStyle w:val="VerbatimChar"/>
                <w:sz w:val="18"/>
              </w:rPr>
              <w:t xml:space="preserve">mock_live_events_sample.json</w:t>
            </w:r>
          </w:p>
        </w:tc>
        <w:tc>
          <w:tcPr>
            <w:vAlign w:val="center"/>
            <w:tcMar>
              <w:top w:w="120" w:type="dxa"/>
              <w:bottom w:w="120" w:type="dxa"/>
              <w:left w:w="150" w:type="dxa"/>
              <w:right w:w="150" w:type="dxa"/>
            </w:tcMar>
          </w:tcPr>
          <w:p>
            <w:pPr>
              <w:pStyle w:val="Compact"/>
              <w:spacing w:after="40"/>
            </w:pPr>
            <w:r>
              <w:rPr>
                <w:sz w:val="18"/>
              </w:rPr>
              <w:t xml:space="preserve">Sample delay or incident markers</w:t>
            </w:r>
          </w:p>
        </w:tc>
        <w:tc>
          <w:tcPr>
            <w:vAlign w:val="center"/>
            <w:tcMar>
              <w:top w:w="120" w:type="dxa"/>
              <w:bottom w:w="120" w:type="dxa"/>
              <w:left w:w="150" w:type="dxa"/>
              <w:right w:w="150" w:type="dxa"/>
            </w:tcMar>
          </w:tcPr>
          <w:p>
            <w:pPr>
              <w:pStyle w:val="Compact"/>
              <w:spacing w:after="40"/>
              <w:jc w:val="right"/>
            </w:pPr>
            <w:r>
              <w:rPr>
                <w:sz w:val="18"/>
              </w:rPr>
              <w:t xml:space="preserve">variable</w:t>
            </w:r>
          </w:p>
        </w:tc>
      </w:tr>
    </w:tbl>
    <w:p>
      <w:pPr>
        <w:pStyle w:val="BodyText"/>
      </w:pPr>
      <w:r>
        <w:t xml:space="preserve">Fresh data workflow:</w:t>
      </w:r>
    </w:p>
    <w:p>
      <w:pPr>
        <w:pStyle w:val="SourceCode"/>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p>
      <w:pPr>
        <w:pStyle w:val="FirstParagraph"/>
        <w:spacing w:before="60" w:after="100"/>
        <w:jc w:val="center"/>
      </w:pPr>
      <w:r>
        <w:drawing>
          <wp:inline>
            <wp:extent cx="6748272" cy="8732520"/>
            <wp:effectExtent b="0" l="0" r="0" t="0"/>
            <wp:docPr descr="" title="" id="43" name="Picture"/>
            <a:graphic>
              <a:graphicData uri="http://schemas.openxmlformats.org/drawingml/2006/picture">
                <pic:pic>
                  <pic:nvPicPr>
                    <pic:cNvPr descr="docs/assets/rebuild-guide/premium-local-run-playbook.png" id="44" name="Picture"/>
                    <pic:cNvPicPr>
                      <a:picLocks noChangeArrowheads="1" noChangeAspect="1"/>
                    </pic:cNvPicPr>
                  </pic:nvPicPr>
                  <pic:blipFill>
                    <a:blip r:embed="rId42"/>
                    <a:stretch>
                      <a:fillRect/>
                    </a:stretch>
                  </pic:blipFill>
                  <pic:spPr bwMode="auto">
                    <a:xfrm>
                      <a:off x="0" y="0"/>
                      <a:ext cx="6748272" cy="8732520"/>
                    </a:xfrm>
                    <a:prstGeom prst="rect">
                      <a:avLst/>
                    </a:prstGeom>
                    <a:noFill/>
                    <a:ln w="9525">
                      <a:noFill/>
                      <a:headEnd/>
                      <a:tailEnd/>
                    </a:ln>
                  </pic:spPr>
                </pic:pic>
              </a:graphicData>
            </a:graphic>
          </wp:inline>
        </w:drawing>
      </w:r>
    </w:p>
    <w:bookmarkEnd w:id="45"/>
    <w:bookmarkEnd w:id="46"/>
    <w:bookmarkStart w:id="55" w:name="run-locally"/>
    <w:p>
      <w:pPr>
        <w:pStyle w:val="Heading1"/>
        <w:jc w:val="left"/>
      </w:pPr>
      <w:r>
        <w:t xml:space="preserve">5. Run Locally</w:t>
      </w:r>
    </w:p>
    <w:p>
      <w:pPr>
        <w:pStyle w:val="FirstParagraph"/>
      </w:pPr>
      <w:r>
        <w:t xml:space="preserve">Local setup is deliberately direct. The goal is to get one useful screen running before adding cloud services.</w:t>
      </w:r>
    </w:p>
    <w:bookmarkStart w:id="50" w:name="play-by-play"/>
    <w:p>
      <w:pPr>
        <w:pStyle w:val="Heading2"/>
        <w:jc w:val="left"/>
      </w:pPr>
      <w:r>
        <w:t xml:space="preserve">Play-by-Play</w:t>
      </w:r>
    </w:p>
    <w:p>
      <w:pPr>
        <w:pStyle w:val="SourceCode"/>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pPr>
      <w:r>
        <w:t xml:space="preserve">Open</w:t>
      </w:r>
      <w:r>
        <w:t xml:space="preserve"> </w:t>
      </w:r>
      <w:r>
        <w:rPr>
          <w:rStyle w:val="VerbatimChar"/>
        </w:rPr>
        <w:t xml:space="preserve">.env</w:t>
      </w:r>
      <w:r>
        <w:t xml:space="preserve"> </w:t>
      </w:r>
      <w:r>
        <w:t xml:space="preserve">and confirm the default local mode:</w:t>
      </w:r>
    </w:p>
    <w:p>
      <w:pPr>
        <w:pStyle w:val="SourceCode"/>
      </w:pPr>
      <w:r>
        <w:rPr>
          <w:rStyle w:val="VerbatimChar"/>
        </w:rPr>
        <w:t xml:space="preserve">DATA_MODE=sample</w:t>
      </w:r>
    </w:p>
    <w:p>
      <w:pPr>
        <w:pStyle w:val="FirstParagraph"/>
      </w:pPr>
      <w:r>
        <w:t xml:space="preserve">Start the app: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pPr>
      <w:r>
        <w:t xml:space="preserve">Open the dashboard:</w:t>
      </w:r>
    </w:p>
    <w:p>
      <w:pPr>
        <w:pStyle w:val="SourceCode"/>
      </w:pPr>
      <w:r>
        <w:rPr>
          <w:rStyle w:val="VerbatimChar"/>
        </w:rPr>
        <w:t xml:space="preserve">http://127.0.0.1:8000</w:t>
      </w:r>
    </w:p>
    <w:p>
      <w:pPr>
        <w:pStyle w:val="FirstParagraph"/>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before="60" w:after="100"/>
        <w:jc w:val="center"/>
      </w:pPr>
      <w:r>
        <w:drawing>
          <wp:inline>
            <wp:extent cx="5334000" cy="3669145"/>
            <wp:effectExtent b="0" l="0" r="0" t="0"/>
            <wp:docPr descr="Map layers screenshot" title="" id="48" name="Picture"/>
            <a:graphic>
              <a:graphicData uri="http://schemas.openxmlformats.org/drawingml/2006/picture">
                <pic:pic>
                  <pic:nvPicPr>
                    <pic:cNvPr descr="docs/assets/rebuild-guide/map-layers.png" id="49" name="Picture"/>
                    <pic:cNvPicPr>
                      <a:picLocks noChangeArrowheads="1" noChangeAspect="1"/>
                    </pic:cNvPicPr>
                  </pic:nvPicPr>
                  <pic:blipFill>
                    <a:blip r:embed="rId47"/>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pPr>
      <w:r>
        <w:t xml:space="preserve">Map layers screenshot</w:t>
      </w:r>
    </w:p>
    <w:p>
      <w:pPr>
        <w:pStyle w:val="BodyText"/>
        <w:jc w:val="center"/>
      </w:pPr>
      <w:r>
        <w:rPr>
          <w:i/>
          <w:iCs/>
          <w:color w:val="566982"/>
          <w:sz w:val="18"/>
        </w:rPr>
        <w:t xml:space="preserve">Figure: metro and bus layers rendered locally with OpenStreetMap fallback tiles.</w:t>
      </w:r>
    </w:p>
    <w:bookmarkEnd w:id="50"/>
    <w:bookmarkStart w:id="54" w:name="local-verification-checklist"/>
    <w:p>
      <w:pPr>
        <w:pStyle w:val="Heading2"/>
        <w:jc w:val="left"/>
      </w:pPr>
      <w:r>
        <w:t xml:space="preserve">Local Verification Checklist</w:t>
      </w:r>
    </w:p>
    <w:p>
      <w:pPr>
        <w:pStyle w:val="Compact"/>
        <w:numPr>
          <w:ilvl w:val="0"/>
          <w:numId w:val="1002"/>
        </w:numPr>
      </w:pPr>
      <w:r>
        <w:t xml:space="preserve">Dashboard loads at</w:t>
      </w:r>
      <w:r>
        <w:t xml:space="preserve"> </w:t>
      </w:r>
      <w:r>
        <w:rPr>
          <w:rStyle w:val="VerbatimChar"/>
        </w:rPr>
        <w:t xml:space="preserve">http://127.0.0.1:8000</w:t>
      </w:r>
      <w:r>
        <w:t xml:space="preserve">.</w:t>
      </w:r>
    </w:p>
    <w:p>
      <w:pPr>
        <w:pStyle w:val="Compact"/>
        <w:numPr>
          <w:ilvl w:val="0"/>
          <w:numId w:val="1002"/>
        </w:numPr>
      </w:pPr>
      <w:r>
        <w:t xml:space="preserve">Map renders using Azure Maps or the OpenStreetMap fallback.</w:t>
      </w:r>
    </w:p>
    <w:p>
      <w:pPr>
        <w:pStyle w:val="Compact"/>
        <w:numPr>
          <w:ilvl w:val="0"/>
          <w:numId w:val="1002"/>
        </w:numPr>
      </w:pPr>
      <w:r>
        <w:t xml:space="preserve">Metro and bus layers appear.</w:t>
      </w:r>
    </w:p>
    <w:p>
      <w:pPr>
        <w:pStyle w:val="Compact"/>
        <w:numPr>
          <w:ilvl w:val="0"/>
          <w:numId w:val="1002"/>
        </w:numPr>
      </w:pPr>
      <w:r>
        <w:t xml:space="preserve">District selector has 10 Riyadh districts.</w:t>
      </w:r>
    </w:p>
    <w:p>
      <w:pPr>
        <w:pStyle w:val="Compact"/>
        <w:numPr>
          <w:ilvl w:val="0"/>
          <w:numId w:val="1002"/>
        </w:numPr>
      </w:pPr>
      <w:r>
        <w:t xml:space="preserve">Selecting a district updates the score panel.</w:t>
      </w:r>
    </w:p>
    <w:p>
      <w:pPr>
        <w:pStyle w:val="Compact"/>
        <w:numPr>
          <w:ilvl w:val="0"/>
          <w:numId w:val="1002"/>
        </w:numPr>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2"/>
        </w:numPr>
      </w:pPr>
      <w:r>
        <w:rPr>
          <w:rStyle w:val="VerbatimChar"/>
        </w:rPr>
        <w:t xml:space="preserve">/api/data-status</w:t>
      </w:r>
      <w:r>
        <w:t xml:space="preserve"> </w:t>
      </w:r>
      <w:r>
        <w:t xml:space="preserve">reports active sample mode.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p>
      <w:pPr>
        <w:pStyle w:val="FirstParagraph"/>
        <w:spacing w:before="60" w:after="100"/>
        <w:jc w:val="center"/>
      </w:pPr>
      <w:r>
        <w:drawing>
          <wp:inline>
            <wp:extent cx="6748272" cy="8732520"/>
            <wp:effectExtent b="0" l="0" r="0" t="0"/>
            <wp:docPr descr="" title="" id="52" name="Picture"/>
            <a:graphic>
              <a:graphicData uri="http://schemas.openxmlformats.org/drawingml/2006/picture">
                <pic:pic>
                  <pic:nvPicPr>
                    <pic:cNvPr descr="docs/assets/rebuild-guide/premium-api-contracts.png" id="53" name="Picture"/>
                    <pic:cNvPicPr>
                      <a:picLocks noChangeArrowheads="1" noChangeAspect="1"/>
                    </pic:cNvPicPr>
                  </pic:nvPicPr>
                  <pic:blipFill>
                    <a:blip r:embed="rId51"/>
                    <a:stretch>
                      <a:fillRect/>
                    </a:stretch>
                  </pic:blipFill>
                  <pic:spPr bwMode="auto">
                    <a:xfrm>
                      <a:off x="0" y="0"/>
                      <a:ext cx="6748272" cy="8732520"/>
                    </a:xfrm>
                    <a:prstGeom prst="rect">
                      <a:avLst/>
                    </a:prstGeom>
                    <a:noFill/>
                    <a:ln w="9525">
                      <a:noFill/>
                      <a:headEnd/>
                      <a:tailEnd/>
                    </a:ln>
                  </pic:spPr>
                </pic:pic>
              </a:graphicData>
            </a:graphic>
          </wp:inline>
        </w:drawing>
      </w:r>
    </w:p>
    <w:bookmarkEnd w:id="54"/>
    <w:bookmarkEnd w:id="55"/>
    <w:bookmarkStart w:id="63" w:name="backend-walkthrough"/>
    <w:p>
      <w:pPr>
        <w:pStyle w:val="Heading1"/>
        <w:jc w:val="left"/>
      </w:pPr>
      <w:r>
        <w:t xml:space="preserve">6. Backend Walkthrough</w:t>
      </w:r>
    </w:p>
    <w:p>
      <w:pPr>
        <w:pStyle w:val="FirstParagraph"/>
      </w:pPr>
      <w:r>
        <w:t xml:space="preserve">The backend is a small FastAPI application. It serves both the API and the static frontend so the starter kit stays easy to run and easy to deploy.</w:t>
      </w:r>
    </w:p>
    <w:p>
      <w:pPr>
        <w:pStyle w:val="BodyText"/>
      </w:pPr>
      <w:r>
        <w:t xml:space="preserve">Read the API as four small contracts:</w:t>
      </w:r>
    </w:p>
    <w:p>
      <w:pPr>
        <w:pStyle w:val="Compact"/>
        <w:numPr>
          <w:ilvl w:val="0"/>
          <w:numId w:val="1003"/>
        </w:numPr>
      </w:pPr>
      <w:r>
        <w:rPr>
          <w:b/>
          <w:bCs/>
        </w:rPr>
        <w:t xml:space="preserve">Bootstrap:</w:t>
      </w:r>
      <w:r>
        <w:t xml:space="preserve"> </w:t>
      </w:r>
      <w:r>
        <w:rPr>
          <w:rStyle w:val="VerbatimChar"/>
        </w:rPr>
        <w:t xml:space="preserve">/health</w:t>
      </w:r>
      <w:r>
        <w:t xml:space="preserve"> </w:t>
      </w:r>
      <w:r>
        <w:t xml:space="preserve">and</w:t>
      </w:r>
      <w:r>
        <w:t xml:space="preserve"> </w:t>
      </w:r>
      <w:r>
        <w:rPr>
          <w:rStyle w:val="VerbatimChar"/>
        </w:rPr>
        <w:t xml:space="preserve">/api/config</w:t>
      </w:r>
      <w:r>
        <w:t xml:space="preserve"> </w:t>
      </w:r>
      <w:r>
        <w:t xml:space="preserve">confirm app health and runtime settings.</w:t>
      </w:r>
    </w:p>
    <w:p>
      <w:pPr>
        <w:pStyle w:val="Compact"/>
        <w:numPr>
          <w:ilvl w:val="0"/>
          <w:numId w:val="1003"/>
        </w:numPr>
      </w:pPr>
      <w:r>
        <w:rPr>
          <w:b/>
          <w:bCs/>
        </w:rPr>
        <w:t xml:space="preserve">Map layers:</w:t>
      </w:r>
      <w:r>
        <w:t xml:space="preserve"> </w:t>
      </w:r>
      <w:r>
        <w:rPr>
          <w:rStyle w:val="VerbatimChar"/>
        </w:rPr>
        <w:t xml:space="preserve">/api/routes</w:t>
      </w:r>
      <w:r>
        <w:t xml:space="preserve"> </w:t>
      </w:r>
      <w:r>
        <w:t xml:space="preserve">and</w:t>
      </w:r>
      <w:r>
        <w:t xml:space="preserve"> </w:t>
      </w:r>
      <w:r>
        <w:rPr>
          <w:rStyle w:val="VerbatimChar"/>
        </w:rPr>
        <w:t xml:space="preserve">/api/routes/geojson?mode=...</w:t>
      </w:r>
      <w:r>
        <w:t xml:space="preserve"> </w:t>
      </w:r>
      <w:r>
        <w:t xml:space="preserve">return route counts and map-ready geometry.</w:t>
      </w:r>
    </w:p>
    <w:p>
      <w:pPr>
        <w:pStyle w:val="Compact"/>
        <w:numPr>
          <w:ilvl w:val="0"/>
          <w:numId w:val="1003"/>
        </w:numPr>
      </w:pPr>
      <w:r>
        <w:rPr>
          <w:b/>
          <w:bCs/>
        </w:rPr>
        <w:t xml:space="preserve">District scoring:</w:t>
      </w:r>
      <w:r>
        <w:t xml:space="preserve"> </w:t>
      </w:r>
      <w:r>
        <w:rPr>
          <w:rStyle w:val="VerbatimChar"/>
        </w:rPr>
        <w:t xml:space="preserve">/api/districts</w:t>
      </w:r>
      <w:r>
        <w:t xml:space="preserve"> </w:t>
      </w:r>
      <w:r>
        <w:t xml:space="preserve">and</w:t>
      </w:r>
      <w:r>
        <w:t xml:space="preserve"> </w:t>
      </w:r>
      <w:r>
        <w:rPr>
          <w:rStyle w:val="VerbatimChar"/>
        </w:rPr>
        <w:t xml:space="preserve">/api/score?districtId=...</w:t>
      </w:r>
      <w:r>
        <w:t xml:space="preserve"> </w:t>
      </w:r>
      <w:r>
        <w:t xml:space="preserve">drive the selector and score panel.</w:t>
      </w:r>
    </w:p>
    <w:p>
      <w:pPr>
        <w:pStyle w:val="Compact"/>
        <w:numPr>
          <w:ilvl w:val="0"/>
          <w:numId w:val="1003"/>
        </w:numPr>
      </w:pPr>
      <w:r>
        <w:rPr>
          <w:b/>
          <w:bCs/>
        </w:rPr>
        <w:t xml:space="preserve">Diagnostics:</w:t>
      </w:r>
      <w:r>
        <w:t xml:space="preserve"> </w:t>
      </w:r>
      <w:r>
        <w:rPr>
          <w:rStyle w:val="VerbatimChar"/>
        </w:rPr>
        <w:t xml:space="preserve">/api/live-events</w:t>
      </w:r>
      <w:r>
        <w:t xml:space="preserve"> </w:t>
      </w:r>
      <w:r>
        <w:t xml:space="preserve">and</w:t>
      </w:r>
      <w:r>
        <w:t xml:space="preserve"> </w:t>
      </w:r>
      <w:r>
        <w:rPr>
          <w:rStyle w:val="VerbatimChar"/>
        </w:rPr>
        <w:t xml:space="preserve">/api/data-status</w:t>
      </w:r>
      <w:r>
        <w:t xml:space="preserve"> </w:t>
      </w:r>
      <w:r>
        <w:t xml:space="preserve">explain demo events, active data mode, and fallback behavior.</w:t>
      </w:r>
    </w:p>
    <w:p>
      <w:pPr>
        <w:pStyle w:val="CaptionedFigure"/>
        <w:spacing w:before="60" w:after="100"/>
        <w:jc w:val="center"/>
      </w:pPr>
      <w:r>
        <w:drawing>
          <wp:inline>
            <wp:extent cx="5334000" cy="2927032"/>
            <wp:effectExtent b="0" l="0" r="0" t="0"/>
            <wp:docPr descr="API data status screenshot" title="" id="57" name="Picture"/>
            <a:graphic>
              <a:graphicData uri="http://schemas.openxmlformats.org/drawingml/2006/picture">
                <pic:pic>
                  <pic:nvPicPr>
                    <pic:cNvPr descr="docs/assets/rebuild-guide/api-data-status.png" id="58" name="Picture"/>
                    <pic:cNvPicPr>
                      <a:picLocks noChangeArrowheads="1" noChangeAspect="1"/>
                    </pic:cNvPicPr>
                  </pic:nvPicPr>
                  <pic:blipFill>
                    <a:blip r:embed="rId56"/>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pPr>
      <w:r>
        <w:t xml:space="preserve">API data status screenshot</w:t>
      </w:r>
    </w:p>
    <w:p>
      <w:pPr>
        <w:pStyle w:val="BodyText"/>
        <w:jc w:val="center"/>
      </w:pPr>
      <w:r>
        <w:rPr>
          <w:i/>
          <w:iCs/>
          <w:color w:val="566982"/>
          <w:sz w:val="18"/>
        </w:rPr>
        <w:t xml:space="preserve">Figure:</w:t>
      </w:r>
      <w:r>
        <w:rPr>
          <w:i/>
          <w:iCs/>
          <w:color w:val="566982"/>
          <w:sz w:val="18"/>
        </w:rPr>
        <w:t xml:space="preserve"> </w:t>
      </w:r>
      <w:r>
        <w:rPr>
          <w:rStyle w:val="VerbatimChar"/>
          <w:i/>
          <w:iCs/>
          <w:color w:val="566982"/>
          <w:sz w:val="18"/>
        </w:rPr>
        <w:t xml:space="preserve">/api/data-status</w:t>
      </w:r>
      <w:r>
        <w:rPr>
          <w:i/>
          <w:iCs/>
          <w:color w:val="566982"/>
          <w:sz w:val="18"/>
        </w:rPr>
        <w:t xml:space="preserve"> </w:t>
      </w:r>
      <w:r>
        <w:rPr>
          <w:i/>
          <w:iCs/>
          <w:color w:val="566982"/>
          <w:sz w:val="18"/>
        </w:rPr>
        <w:t xml:space="preserve">confirms sample mode and explains the fallback path.</w:t>
      </w:r>
    </w:p>
    <w:bookmarkStart w:id="62" w:name="score-request-flow"/>
    <w:p>
      <w:pPr>
        <w:pStyle w:val="Heading2"/>
        <w:jc w:val="left"/>
      </w:pPr>
      <w:r>
        <w:t xml:space="preserve">Score Request Flow</w:t>
      </w:r>
    </w:p>
    <w:p>
      <w:pPr>
        <w:pStyle w:val="CaptionedFigure"/>
        <w:spacing w:before="60" w:after="100"/>
        <w:jc w:val="center"/>
      </w:pPr>
      <w:r>
        <w:drawing>
          <wp:inline>
            <wp:extent cx="5334000" cy="1540933"/>
            <wp:effectExtent b="0" l="0" r="0" t="0"/>
            <wp:docPr descr="Score request flow" title="" id="60" name="Picture"/>
            <a:graphic>
              <a:graphicData uri="http://schemas.openxmlformats.org/drawingml/2006/picture">
                <pic:pic>
                  <pic:nvPicPr>
                    <pic:cNvPr descr="docs/assets/rebuild-guide/diagram-score-request.png" id="61" name="Picture"/>
                    <pic:cNvPicPr>
                      <a:picLocks noChangeArrowheads="1" noChangeAspect="1"/>
                    </pic:cNvPicPr>
                  </pic:nvPicPr>
                  <pic:blipFill>
                    <a:blip r:embed="rId59"/>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Score request flow</w:t>
      </w:r>
    </w:p>
    <w:p>
      <w:pPr>
        <w:pStyle w:val="BodyText"/>
      </w:pPr>
      <w:r>
        <w:t xml:space="preserve">The score formula stays on the backend so it can be tested and reused:</w:t>
      </w:r>
    </w:p>
    <w:p>
      <w:pPr>
        <w:pStyle w:val="SourceCode"/>
      </w:pPr>
      <w:r>
        <w:rPr>
          <w:rStyle w:val="VerbatimChar"/>
        </w:rPr>
        <w:t xml:space="preserve">score = (nearby metro count x 3) + nearby bus count - live delay penalty</w:t>
      </w:r>
    </w:p>
    <w:p>
      <w:pPr>
        <w:pStyle w:val="FirstParagraph"/>
      </w:pPr>
      <w:r>
        <w:t xml:space="preserve">Keep this formula easy to explain. Teams can later replace the weights or add new inputs such as parking, walkability, public services, heat, or event density.</w:t>
      </w:r>
    </w:p>
    <w:bookmarkEnd w:id="62"/>
    <w:bookmarkEnd w:id="63"/>
    <w:bookmarkStart w:id="73" w:name="frontend-walkthrough"/>
    <w:p>
      <w:pPr>
        <w:pStyle w:val="Heading1"/>
        <w:jc w:val="left"/>
      </w:pPr>
      <w:r>
        <w:t xml:space="preserve">7. Frontend Walkthrough</w:t>
      </w:r>
    </w:p>
    <w:p>
      <w:pPr>
        <w:pStyle w:val="FirstParagraph"/>
      </w:pPr>
      <w:r>
        <w:t xml:space="preserve">The frontend is a single-page application built with Vanilla JavaScript. This keeps the starter kit accessible to mixed-experience teams while still showing a complete app workflow.</w:t>
      </w:r>
    </w:p>
    <w:p>
      <w:pPr>
        <w:pStyle w:val="BodyText"/>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Layer</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it shows</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Metro lines</w:t>
            </w:r>
          </w:p>
        </w:tc>
        <w:tc>
          <w:tcPr>
            <w:vAlign w:val="center"/>
            <w:tcMar>
              <w:top w:w="120" w:type="dxa"/>
              <w:bottom w:w="120" w:type="dxa"/>
              <w:left w:w="150" w:type="dxa"/>
              <w:right w:w="150" w:type="dxa"/>
            </w:tcMar>
          </w:tcPr>
          <w:p>
            <w:pPr>
              <w:pStyle w:val="Compact"/>
              <w:spacing w:after="40"/>
            </w:pPr>
            <w:r>
              <w:rPr>
                <w:sz w:val="18"/>
              </w:rPr>
              <w:t xml:space="preserve">high-capacity mobility corridors</w:t>
            </w:r>
          </w:p>
        </w:tc>
        <w:tc>
          <w:tcPr>
            <w:vAlign w:val="center"/>
            <w:tcMar>
              <w:top w:w="120" w:type="dxa"/>
              <w:bottom w:w="120" w:type="dxa"/>
              <w:left w:w="150" w:type="dxa"/>
              <w:right w:w="150" w:type="dxa"/>
            </w:tcMar>
          </w:tcPr>
          <w:p>
            <w:pPr>
              <w:pStyle w:val="Compact"/>
              <w:spacing w:after="40"/>
            </w:pPr>
            <w:r>
              <w:rPr>
                <w:sz w:val="18"/>
              </w:rPr>
              <w:t xml:space="preserve">shows structural transit coverage</w:t>
            </w:r>
          </w:p>
        </w:tc>
      </w:tr>
      <w:tr>
        <w:tc>
          <w:tcPr>
            <w:vAlign w:val="center"/>
            <w:tcMar>
              <w:top w:w="120" w:type="dxa"/>
              <w:bottom w:w="120" w:type="dxa"/>
              <w:left w:w="150" w:type="dxa"/>
              <w:right w:w="150" w:type="dxa"/>
            </w:tcMar>
          </w:tcPr>
          <w:p>
            <w:pPr>
              <w:pStyle w:val="Compact"/>
              <w:spacing w:after="40"/>
            </w:pPr>
            <w:r>
              <w:rPr>
                <w:sz w:val="18"/>
              </w:rPr>
              <w:t xml:space="preserve">Bus routes</w:t>
            </w:r>
          </w:p>
        </w:tc>
        <w:tc>
          <w:tcPr>
            <w:vAlign w:val="center"/>
            <w:tcMar>
              <w:top w:w="120" w:type="dxa"/>
              <w:bottom w:w="120" w:type="dxa"/>
              <w:left w:w="150" w:type="dxa"/>
              <w:right w:w="150" w:type="dxa"/>
            </w:tcMar>
          </w:tcPr>
          <w:p>
            <w:pPr>
              <w:pStyle w:val="Compact"/>
              <w:spacing w:after="40"/>
            </w:pPr>
            <w:r>
              <w:rPr>
                <w:sz w:val="18"/>
              </w:rPr>
              <w:t xml:space="preserve">surface transit coverage</w:t>
            </w:r>
          </w:p>
        </w:tc>
        <w:tc>
          <w:tcPr>
            <w:vAlign w:val="center"/>
            <w:tcMar>
              <w:top w:w="120" w:type="dxa"/>
              <w:bottom w:w="120" w:type="dxa"/>
              <w:left w:w="150" w:type="dxa"/>
              <w:right w:w="150" w:type="dxa"/>
            </w:tcMar>
          </w:tcPr>
          <w:p>
            <w:pPr>
              <w:pStyle w:val="Compact"/>
              <w:spacing w:after="40"/>
            </w:pPr>
            <w:r>
              <w:rPr>
                <w:sz w:val="18"/>
              </w:rPr>
              <w:t xml:space="preserve">shows fine-grained network reach</w:t>
            </w:r>
          </w:p>
        </w:tc>
      </w:tr>
      <w:tr>
        <w:tc>
          <w:tcPr>
            <w:vAlign w:val="center"/>
            <w:tcMar>
              <w:top w:w="120" w:type="dxa"/>
              <w:bottom w:w="120" w:type="dxa"/>
              <w:left w:w="150" w:type="dxa"/>
              <w:right w:w="150" w:type="dxa"/>
            </w:tcMar>
          </w:tcPr>
          <w:p>
            <w:pPr>
              <w:pStyle w:val="Compact"/>
              <w:spacing w:after="40"/>
            </w:pPr>
            <w:r>
              <w:rPr>
                <w:sz w:val="18"/>
              </w:rPr>
              <w:t xml:space="preserve">Districts</w:t>
            </w:r>
          </w:p>
        </w:tc>
        <w:tc>
          <w:tcPr>
            <w:vAlign w:val="center"/>
            <w:tcMar>
              <w:top w:w="120" w:type="dxa"/>
              <w:bottom w:w="120" w:type="dxa"/>
              <w:left w:w="150" w:type="dxa"/>
              <w:right w:w="150" w:type="dxa"/>
            </w:tcMar>
          </w:tcPr>
          <w:p>
            <w:pPr>
              <w:pStyle w:val="Compact"/>
              <w:spacing w:after="40"/>
            </w:pPr>
            <w:r>
              <w:rPr>
                <w:sz w:val="18"/>
              </w:rPr>
              <w:t xml:space="preserve">selectable district points</w:t>
            </w:r>
          </w:p>
        </w:tc>
        <w:tc>
          <w:tcPr>
            <w:vAlign w:val="center"/>
            <w:tcMar>
              <w:top w:w="120" w:type="dxa"/>
              <w:bottom w:w="120" w:type="dxa"/>
              <w:left w:w="150" w:type="dxa"/>
              <w:right w:w="150" w:type="dxa"/>
            </w:tcMar>
          </w:tcPr>
          <w:p>
            <w:pPr>
              <w:pStyle w:val="Compact"/>
              <w:spacing w:after="40"/>
            </w:pPr>
            <w:r>
              <w:rPr>
                <w:sz w:val="18"/>
              </w:rPr>
              <w:t xml:space="preserve">anchors the score conversation</w:t>
            </w:r>
          </w:p>
        </w:tc>
      </w:tr>
      <w:tr>
        <w:tc>
          <w:tcPr>
            <w:vAlign w:val="center"/>
            <w:tcMar>
              <w:top w:w="120" w:type="dxa"/>
              <w:bottom w:w="120" w:type="dxa"/>
              <w:left w:w="150" w:type="dxa"/>
              <w:right w:w="150" w:type="dxa"/>
            </w:tcMar>
          </w:tcPr>
          <w:p>
            <w:pPr>
              <w:pStyle w:val="Compact"/>
              <w:spacing w:after="40"/>
            </w:pPr>
            <w:r>
              <w:rPr>
                <w:sz w:val="18"/>
              </w:rPr>
              <w:t xml:space="preserve">Live events</w:t>
            </w:r>
          </w:p>
        </w:tc>
        <w:tc>
          <w:tcPr>
            <w:vAlign w:val="center"/>
            <w:tcMar>
              <w:top w:w="120" w:type="dxa"/>
              <w:bottom w:w="120" w:type="dxa"/>
              <w:left w:w="150" w:type="dxa"/>
              <w:right w:w="150" w:type="dxa"/>
            </w:tcMar>
          </w:tcPr>
          <w:p>
            <w:pPr>
              <w:pStyle w:val="Compact"/>
              <w:spacing w:after="40"/>
            </w:pPr>
            <w:r>
              <w:rPr>
                <w:sz w:val="18"/>
              </w:rPr>
              <w:t xml:space="preserve">delay or incident markers</w:t>
            </w:r>
          </w:p>
        </w:tc>
        <w:tc>
          <w:tcPr>
            <w:vAlign w:val="center"/>
            <w:tcMar>
              <w:top w:w="120" w:type="dxa"/>
              <w:bottom w:w="120" w:type="dxa"/>
              <w:left w:w="150" w:type="dxa"/>
              <w:right w:w="150" w:type="dxa"/>
            </w:tcMar>
          </w:tcPr>
          <w:p>
            <w:pPr>
              <w:pStyle w:val="Compact"/>
              <w:spacing w:after="40"/>
            </w:pPr>
            <w:r>
              <w:rPr>
                <w:sz w:val="18"/>
              </w:rPr>
              <w:t xml:space="preserve">demonstrates cloud-live extension potential</w:t>
            </w:r>
          </w:p>
        </w:tc>
      </w:tr>
      <w:tr>
        <w:tc>
          <w:tcPr>
            <w:vAlign w:val="center"/>
            <w:tcMar>
              <w:top w:w="120" w:type="dxa"/>
              <w:bottom w:w="120" w:type="dxa"/>
              <w:left w:w="150" w:type="dxa"/>
              <w:right w:w="150" w:type="dxa"/>
            </w:tcMar>
          </w:tcPr>
          <w:p>
            <w:pPr>
              <w:pStyle w:val="Compact"/>
              <w:spacing w:after="40"/>
            </w:pPr>
            <w:r>
              <w:rPr>
                <w:sz w:val="18"/>
              </w:rPr>
              <w:t xml:space="preserve">Accessibility buffer</w:t>
            </w:r>
          </w:p>
        </w:tc>
        <w:tc>
          <w:tcPr>
            <w:vAlign w:val="center"/>
            <w:tcMar>
              <w:top w:w="120" w:type="dxa"/>
              <w:bottom w:w="120" w:type="dxa"/>
              <w:left w:w="150" w:type="dxa"/>
              <w:right w:w="150" w:type="dxa"/>
            </w:tcMar>
          </w:tcPr>
          <w:p>
            <w:pPr>
              <w:pStyle w:val="Compact"/>
              <w:spacing w:after="40"/>
            </w:pPr>
            <w:r>
              <w:rPr>
                <w:sz w:val="18"/>
              </w:rPr>
              <w:t xml:space="preserve">rough selected-district service area</w:t>
            </w:r>
          </w:p>
        </w:tc>
        <w:tc>
          <w:tcPr>
            <w:vAlign w:val="center"/>
            <w:tcMar>
              <w:top w:w="120" w:type="dxa"/>
              <w:bottom w:w="120" w:type="dxa"/>
              <w:left w:w="150" w:type="dxa"/>
              <w:right w:w="150" w:type="dxa"/>
            </w:tcMar>
          </w:tcPr>
          <w:p>
            <w:pPr>
              <w:pStyle w:val="Compact"/>
              <w:spacing w:after="40"/>
            </w:pPr>
            <w:r>
              <w:rPr>
                <w:sz w:val="18"/>
              </w:rPr>
              <w:t xml:space="preserve">makes the score formula visible</w:t>
            </w:r>
          </w:p>
        </w:tc>
      </w:tr>
    </w:tbl>
    <w:p>
      <w:pPr>
        <w:pStyle w:val="CaptionedFigure"/>
        <w:spacing w:before="60" w:after="100"/>
        <w:jc w:val="center"/>
      </w:pPr>
      <w:r>
        <w:drawing>
          <wp:inline>
            <wp:extent cx="5334000" cy="600757"/>
            <wp:effectExtent b="0" l="0" r="0" t="0"/>
            <wp:docPr descr="District selector screenshot" title="" id="65" name="Picture"/>
            <a:graphic>
              <a:graphicData uri="http://schemas.openxmlformats.org/drawingml/2006/picture">
                <pic:pic>
                  <pic:nvPicPr>
                    <pic:cNvPr descr="docs/assets/rebuild-guide/district-selector.png" id="66" name="Picture"/>
                    <pic:cNvPicPr>
                      <a:picLocks noChangeArrowheads="1" noChangeAspect="1"/>
                    </pic:cNvPicPr>
                  </pic:nvPicPr>
                  <pic:blipFill>
                    <a:blip r:embed="rId64"/>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pPr>
      <w:r>
        <w:t xml:space="preserve">District selector screenshot</w:t>
      </w:r>
    </w:p>
    <w:p>
      <w:pPr>
        <w:pStyle w:val="BodyText"/>
      </w:pPr>
      <w:r>
        <w:t xml:space="preserve">The score panel translates raw counts into a judge-friendly story:</w:t>
      </w:r>
    </w:p>
    <w:p>
      <w:pPr>
        <w:pStyle w:val="Compact"/>
        <w:numPr>
          <w:ilvl w:val="0"/>
          <w:numId w:val="1004"/>
        </w:numPr>
      </w:pPr>
      <w:r>
        <w:t xml:space="preserve">selected district name</w:t>
      </w:r>
    </w:p>
    <w:p>
      <w:pPr>
        <w:pStyle w:val="Compact"/>
        <w:numPr>
          <w:ilvl w:val="0"/>
          <w:numId w:val="1004"/>
        </w:numPr>
      </w:pPr>
      <w:r>
        <w:t xml:space="preserve">score number</w:t>
      </w:r>
    </w:p>
    <w:p>
      <w:pPr>
        <w:pStyle w:val="Compact"/>
        <w:numPr>
          <w:ilvl w:val="0"/>
          <w:numId w:val="1004"/>
        </w:numPr>
      </w:pPr>
      <w:r>
        <w:t xml:space="preserve">rating</w:t>
      </w:r>
    </w:p>
    <w:p>
      <w:pPr>
        <w:pStyle w:val="Compact"/>
        <w:numPr>
          <w:ilvl w:val="0"/>
          <w:numId w:val="1004"/>
        </w:numPr>
      </w:pPr>
      <w:r>
        <w:t xml:space="preserve">nearby metro count</w:t>
      </w:r>
    </w:p>
    <w:p>
      <w:pPr>
        <w:pStyle w:val="Compact"/>
        <w:numPr>
          <w:ilvl w:val="0"/>
          <w:numId w:val="1004"/>
        </w:numPr>
      </w:pPr>
      <w:r>
        <w:t xml:space="preserve">nearby bus count</w:t>
      </w:r>
    </w:p>
    <w:p>
      <w:pPr>
        <w:pStyle w:val="Compact"/>
        <w:numPr>
          <w:ilvl w:val="0"/>
          <w:numId w:val="1004"/>
        </w:numPr>
      </w:pPr>
      <w:r>
        <w:t xml:space="preserve">live-event penalty</w:t>
      </w:r>
    </w:p>
    <w:p>
      <w:pPr>
        <w:pStyle w:val="Compact"/>
        <w:numPr>
          <w:ilvl w:val="0"/>
          <w:numId w:val="1004"/>
        </w:numPr>
      </w:pPr>
      <w:r>
        <w:t xml:space="preserve">readable formula</w:t>
      </w:r>
    </w:p>
    <w:p>
      <w:pPr>
        <w:pStyle w:val="Compact"/>
        <w:numPr>
          <w:ilvl w:val="0"/>
          <w:numId w:val="1004"/>
        </w:numPr>
      </w:pPr>
      <w:r>
        <w:t xml:space="preserve">active data source context</w:t>
      </w:r>
    </w:p>
    <w:p>
      <w:pPr>
        <w:pStyle w:val="CaptionedFigure"/>
        <w:spacing w:before="60" w:after="100"/>
        <w:jc w:val="center"/>
      </w:pPr>
      <w:r>
        <w:drawing>
          <wp:inline>
            <wp:extent cx="5334000" cy="4533900"/>
            <wp:effectExtent b="0" l="0" r="0" t="0"/>
            <wp:docPr descr="District score panel screenshot" title="" id="68" name="Picture"/>
            <a:graphic>
              <a:graphicData uri="http://schemas.openxmlformats.org/drawingml/2006/picture">
                <pic:pic>
                  <pic:nvPicPr>
                    <pic:cNvPr descr="docs/assets/rebuild-guide/district-score-panel.png" id="69" name="Picture"/>
                    <pic:cNvPicPr>
                      <a:picLocks noChangeArrowheads="1" noChangeAspect="1"/>
                    </pic:cNvPicPr>
                  </pic:nvPicPr>
                  <pic:blipFill>
                    <a:blip r:embed="rId67"/>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t xml:space="preserve">District score panel screenshot</w:t>
      </w:r>
    </w:p>
    <w:p>
      <w:pPr>
        <w:pStyle w:val="BodyText"/>
        <w:jc w:val="center"/>
      </w:pPr>
      <w:r>
        <w:rPr>
          <w:i/>
          <w:iCs/>
          <w:color w:val="566982"/>
          <w:sz w:val="18"/>
        </w:rPr>
        <w:t xml:space="preserve">Figure: district score panel after selecting a Riyadh district.</w:t>
      </w:r>
    </w:p>
    <w:p>
      <w:pPr>
        <w:pStyle w:val="BodyText"/>
        <w:spacing w:before="60" w:after="100"/>
        <w:jc w:val="center"/>
      </w:pPr>
      <w:r>
        <w:drawing>
          <wp:inline>
            <wp:extent cx="6748272" cy="8732520"/>
            <wp:effectExtent b="0" l="0" r="0" t="0"/>
            <wp:docPr descr="" title="" id="71" name="Picture"/>
            <a:graphic>
              <a:graphicData uri="http://schemas.openxmlformats.org/drawingml/2006/picture">
                <pic:pic>
                  <pic:nvPicPr>
                    <pic:cNvPr descr="docs/assets/rebuild-guide/premium-cloud-deployment-blueprint.png" id="72" name="Picture"/>
                    <pic:cNvPicPr>
                      <a:picLocks noChangeArrowheads="1" noChangeAspect="1"/>
                    </pic:cNvPicPr>
                  </pic:nvPicPr>
                  <pic:blipFill>
                    <a:blip r:embed="rId70"/>
                    <a:stretch>
                      <a:fillRect/>
                    </a:stretch>
                  </pic:blipFill>
                  <pic:spPr bwMode="auto">
                    <a:xfrm>
                      <a:off x="0" y="0"/>
                      <a:ext cx="6748272" cy="8732520"/>
                    </a:xfrm>
                    <a:prstGeom prst="rect">
                      <a:avLst/>
                    </a:prstGeom>
                    <a:noFill/>
                    <a:ln w="9525">
                      <a:noFill/>
                      <a:headEnd/>
                      <a:tailEnd/>
                    </a:ln>
                  </pic:spPr>
                </pic:pic>
              </a:graphicData>
            </a:graphic>
          </wp:inline>
        </w:drawing>
      </w:r>
    </w:p>
    <w:bookmarkEnd w:id="73"/>
    <w:bookmarkStart w:id="79" w:name="cloud-live-deployment"/>
    <w:p>
      <w:pPr>
        <w:pStyle w:val="Heading1"/>
        <w:jc w:val="left"/>
      </w:pPr>
      <w:r>
        <w:t xml:space="preserve">8. Cloud-Live Deployment</w:t>
      </w:r>
    </w:p>
    <w:p>
      <w:pPr>
        <w:pStyle w:val="FirstParagraph"/>
      </w:pPr>
      <w:r>
        <w:t xml:space="preserve">The cloud-live path is the deployable version of the same starter kit. It is useful when a team needs to show that the app can move beyond a laptop and into a credible Azure environment.</w:t>
      </w:r>
    </w:p>
    <w:bookmarkStart w:id="74" w:name="prerequisites"/>
    <w:p>
      <w:pPr>
        <w:pStyle w:val="Heading2"/>
        <w:jc w:val="left"/>
      </w:pPr>
      <w:r>
        <w:t xml:space="preserve">Prerequisites</w:t>
      </w:r>
    </w:p>
    <w:p>
      <w:pPr>
        <w:pStyle w:val="FirstParagraph"/>
      </w:pPr>
      <w:r>
        <w:t xml:space="preserve">Before deploying, confirm:</w:t>
      </w:r>
    </w:p>
    <w:p>
      <w:pPr>
        <w:pStyle w:val="Compact"/>
        <w:numPr>
          <w:ilvl w:val="0"/>
          <w:numId w:val="1005"/>
        </w:numPr>
      </w:pPr>
      <w:r>
        <w:t xml:space="preserve">Azure account is available.</w:t>
      </w:r>
    </w:p>
    <w:p>
      <w:pPr>
        <w:pStyle w:val="Compact"/>
        <w:numPr>
          <w:ilvl w:val="0"/>
          <w:numId w:val="1005"/>
        </w:numPr>
      </w:pPr>
      <w:r>
        <w:t xml:space="preserve">Azure CLI is installed.</w:t>
      </w:r>
    </w:p>
    <w:p>
      <w:pPr>
        <w:pStyle w:val="Compact"/>
        <w:numPr>
          <w:ilvl w:val="0"/>
          <w:numId w:val="1005"/>
        </w:numPr>
      </w:pPr>
      <w:r>
        <w:t xml:space="preserve">Azure Developer CLI is installed.</w:t>
      </w:r>
    </w:p>
    <w:p>
      <w:pPr>
        <w:pStyle w:val="Compact"/>
        <w:numPr>
          <w:ilvl w:val="0"/>
          <w:numId w:val="1005"/>
        </w:numPr>
      </w:pPr>
      <w:r>
        <w:t xml:space="preserve">Shell is authenticated to the right Azure tenant and subscription.</w:t>
      </w:r>
    </w:p>
    <w:p>
      <w:pPr>
        <w:pStyle w:val="Compact"/>
        <w:numPr>
          <w:ilvl w:val="0"/>
          <w:numId w:val="1005"/>
        </w:numPr>
      </w:pPr>
      <w:r>
        <w:t xml:space="preserve">Target location and resource group are known.</w:t>
      </w:r>
    </w:p>
    <w:p>
      <w:pPr>
        <w:pStyle w:val="Compact"/>
        <w:numPr>
          <w:ilvl w:val="0"/>
          <w:numId w:val="1005"/>
        </w:numPr>
      </w:pPr>
      <w:r>
        <w:t xml:space="preserve">Local app and tests already pass.</w:t>
      </w:r>
    </w:p>
    <w:p>
      <w:pPr>
        <w:pStyle w:val="FirstParagraph"/>
      </w:pPr>
      <w:r>
        <w:t xml:space="preserve">Sign in:</w:t>
      </w:r>
    </w:p>
    <w:p>
      <w:pPr>
        <w:pStyle w:val="SourceCode"/>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pPr>
      <w:r>
        <w:t xml:space="preserve">Deploy with the helper:</w:t>
      </w:r>
    </w:p>
    <w:p>
      <w:pPr>
        <w:pStyle w:val="SourceCode"/>
      </w:pPr>
      <w:r>
        <w:rPr>
          <w:rStyle w:val="FunctionTok"/>
        </w:rPr>
        <w:t xml:space="preserve">bash</w:t>
      </w:r>
      <w:r>
        <w:rPr>
          <w:rStyle w:val="NormalTok"/>
        </w:rPr>
        <w:t xml:space="preserve"> scripts/deploy_azure.sh</w:t>
      </w:r>
    </w:p>
    <w:p>
      <w:pPr>
        <w:pStyle w:val="FirstParagraph"/>
      </w:pPr>
      <w:r>
        <w:t xml:space="preserve">Optional location and resource group:</w:t>
      </w:r>
    </w:p>
    <w:p>
      <w:pPr>
        <w:pStyle w:val="SourceCode"/>
      </w:pPr>
      <w:r>
        <w:rPr>
          <w:rStyle w:val="FunctionTok"/>
        </w:rPr>
        <w:t xml:space="preserve">bash</w:t>
      </w:r>
      <w:r>
        <w:rPr>
          <w:rStyle w:val="NormalTok"/>
        </w:rPr>
        <w:t xml:space="preserve"> scripts/deploy_azure.sh eastus rg-riyadh-ud-eastus</w:t>
      </w:r>
    </w:p>
    <w:p>
      <w:pPr>
        <w:pStyle w:val="FirstParagraph"/>
      </w:pPr>
      <w:r>
        <w:t xml:space="preserve">The helper prints active environment values, then runs the Azure Developer CLI deployment workflow.</w:t>
      </w:r>
    </w:p>
    <w:bookmarkEnd w:id="74"/>
    <w:bookmarkStart w:id="78" w:name="what-deployment-creates"/>
    <w:p>
      <w:pPr>
        <w:pStyle w:val="Heading2"/>
        <w:jc w:val="left"/>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Azure resource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Role</w:t>
            </w:r>
          </w:p>
        </w:tc>
      </w:tr>
      <w:tr>
        <w:tc>
          <w:tcPr>
            <w:vAlign w:val="center"/>
            <w:tcMar>
              <w:top w:w="120" w:type="dxa"/>
              <w:bottom w:w="120" w:type="dxa"/>
              <w:left w:w="150" w:type="dxa"/>
              <w:right w:w="150" w:type="dxa"/>
            </w:tcMar>
          </w:tcPr>
          <w:p>
            <w:pPr>
              <w:pStyle w:val="Compact"/>
              <w:spacing w:after="40"/>
            </w:pPr>
            <w:r>
              <w:rPr>
                <w:sz w:val="18"/>
              </w:rPr>
              <w:t xml:space="preserve">Azure Container Apps</w:t>
            </w:r>
          </w:p>
        </w:tc>
        <w:tc>
          <w:tcPr>
            <w:vAlign w:val="center"/>
            <w:tcMar>
              <w:top w:w="120" w:type="dxa"/>
              <w:bottom w:w="120" w:type="dxa"/>
              <w:left w:w="150" w:type="dxa"/>
              <w:right w:w="150" w:type="dxa"/>
            </w:tcMar>
          </w:tcPr>
          <w:p>
            <w:pPr>
              <w:pStyle w:val="Compact"/>
              <w:spacing w:after="40"/>
            </w:pPr>
            <w:r>
              <w:rPr>
                <w:sz w:val="18"/>
              </w:rPr>
              <w:t xml:space="preserve">hosts FastAPI and the static frontend</w:t>
            </w:r>
          </w:p>
        </w:tc>
      </w:tr>
      <w:tr>
        <w:tc>
          <w:tcPr>
            <w:vAlign w:val="center"/>
            <w:tcMar>
              <w:top w:w="120" w:type="dxa"/>
              <w:bottom w:w="120" w:type="dxa"/>
              <w:left w:w="150" w:type="dxa"/>
              <w:right w:w="150" w:type="dxa"/>
            </w:tcMar>
          </w:tcPr>
          <w:p>
            <w:pPr>
              <w:pStyle w:val="Compact"/>
              <w:spacing w:after="40"/>
            </w:pPr>
            <w:r>
              <w:rPr>
                <w:sz w:val="18"/>
              </w:rPr>
              <w:t xml:space="preserve">Azure Container Registry</w:t>
            </w:r>
          </w:p>
        </w:tc>
        <w:tc>
          <w:tcPr>
            <w:vAlign w:val="center"/>
            <w:tcMar>
              <w:top w:w="120" w:type="dxa"/>
              <w:bottom w:w="120" w:type="dxa"/>
              <w:left w:w="150" w:type="dxa"/>
              <w:right w:w="150" w:type="dxa"/>
            </w:tcMar>
          </w:tcPr>
          <w:p>
            <w:pPr>
              <w:pStyle w:val="Compact"/>
              <w:spacing w:after="40"/>
            </w:pPr>
            <w:r>
              <w:rPr>
                <w:sz w:val="18"/>
              </w:rPr>
              <w:t xml:space="preserve">stores the built container image</w:t>
            </w:r>
          </w:p>
        </w:tc>
      </w:tr>
      <w:tr>
        <w:tc>
          <w:tcPr>
            <w:vAlign w:val="center"/>
            <w:tcMar>
              <w:top w:w="120" w:type="dxa"/>
              <w:bottom w:w="120" w:type="dxa"/>
              <w:left w:w="150" w:type="dxa"/>
              <w:right w:w="150" w:type="dxa"/>
            </w:tcMar>
          </w:tcPr>
          <w:p>
            <w:pPr>
              <w:pStyle w:val="Compact"/>
              <w:spacing w:after="40"/>
            </w:pPr>
            <w:r>
              <w:rPr>
                <w:sz w:val="18"/>
              </w:rPr>
              <w:t xml:space="preserve">Azure Maps account</w:t>
            </w:r>
          </w:p>
        </w:tc>
        <w:tc>
          <w:tcPr>
            <w:vAlign w:val="center"/>
            <w:tcMar>
              <w:top w:w="120" w:type="dxa"/>
              <w:bottom w:w="120" w:type="dxa"/>
              <w:left w:w="150" w:type="dxa"/>
              <w:right w:w="150" w:type="dxa"/>
            </w:tcMar>
          </w:tcPr>
          <w:p>
            <w:pPr>
              <w:pStyle w:val="Compact"/>
              <w:spacing w:after="40"/>
            </w:pPr>
            <w:r>
              <w:rPr>
                <w:sz w:val="18"/>
              </w:rPr>
              <w:t xml:space="preserve">supports cloud map services</w:t>
            </w:r>
          </w:p>
        </w:tc>
      </w:tr>
      <w:tr>
        <w:tc>
          <w:tcPr>
            <w:vAlign w:val="center"/>
            <w:tcMar>
              <w:top w:w="120" w:type="dxa"/>
              <w:bottom w:w="120" w:type="dxa"/>
              <w:left w:w="150" w:type="dxa"/>
              <w:right w:w="150" w:type="dxa"/>
            </w:tcMar>
          </w:tcPr>
          <w:p>
            <w:pPr>
              <w:pStyle w:val="Compact"/>
              <w:spacing w:after="40"/>
            </w:pPr>
            <w:r>
              <w:rPr>
                <w:sz w:val="18"/>
              </w:rPr>
              <w:t xml:space="preserve">Azure Blob Storage</w:t>
            </w:r>
          </w:p>
        </w:tc>
        <w:tc>
          <w:tcPr>
            <w:vAlign w:val="center"/>
            <w:tcMar>
              <w:top w:w="120" w:type="dxa"/>
              <w:bottom w:w="120" w:type="dxa"/>
              <w:left w:w="150" w:type="dxa"/>
              <w:right w:w="150" w:type="dxa"/>
            </w:tcMar>
          </w:tcPr>
          <w:p>
            <w:pPr>
              <w:pStyle w:val="Compact"/>
              <w:spacing w:after="40"/>
            </w:pPr>
            <w:r>
              <w:rPr>
                <w:sz w:val="18"/>
              </w:rPr>
              <w:t xml:space="preserve">stores raw and processed mobility files</w:t>
            </w:r>
          </w:p>
        </w:tc>
      </w:tr>
      <w:tr>
        <w:tc>
          <w:tcPr>
            <w:vAlign w:val="center"/>
            <w:tcMar>
              <w:top w:w="120" w:type="dxa"/>
              <w:bottom w:w="120" w:type="dxa"/>
              <w:left w:w="150" w:type="dxa"/>
              <w:right w:w="150" w:type="dxa"/>
            </w:tcMar>
          </w:tcPr>
          <w:p>
            <w:pPr>
              <w:pStyle w:val="Compact"/>
              <w:spacing w:after="40"/>
            </w:pPr>
            <w:r>
              <w:rPr>
                <w:sz w:val="18"/>
              </w:rPr>
              <w:t xml:space="preserve">Azure Cosmos DB</w:t>
            </w:r>
          </w:p>
        </w:tc>
        <w:tc>
          <w:tcPr>
            <w:vAlign w:val="center"/>
            <w:tcMar>
              <w:top w:w="120" w:type="dxa"/>
              <w:bottom w:w="120" w:type="dxa"/>
              <w:left w:w="150" w:type="dxa"/>
              <w:right w:w="150" w:type="dxa"/>
            </w:tcMar>
          </w:tcPr>
          <w:p>
            <w:pPr>
              <w:pStyle w:val="Compact"/>
              <w:spacing w:after="40"/>
            </w:pPr>
            <w:r>
              <w:rPr>
                <w:sz w:val="18"/>
              </w:rPr>
              <w:t xml:space="preserve">stores route, district, and event records</w:t>
            </w:r>
          </w:p>
        </w:tc>
      </w:tr>
      <w:tr>
        <w:tc>
          <w:tcPr>
            <w:vAlign w:val="center"/>
            <w:tcMar>
              <w:top w:w="120" w:type="dxa"/>
              <w:bottom w:w="120" w:type="dxa"/>
              <w:left w:w="150" w:type="dxa"/>
              <w:right w:w="150" w:type="dxa"/>
            </w:tcMar>
          </w:tcPr>
          <w:p>
            <w:pPr>
              <w:pStyle w:val="Compact"/>
              <w:spacing w:after="40"/>
            </w:pPr>
            <w:r>
              <w:rPr>
                <w:sz w:val="18"/>
              </w:rPr>
              <w:t xml:space="preserve">Application Insights</w:t>
            </w:r>
          </w:p>
        </w:tc>
        <w:tc>
          <w:tcPr>
            <w:vAlign w:val="center"/>
            <w:tcMar>
              <w:top w:w="120" w:type="dxa"/>
              <w:bottom w:w="120" w:type="dxa"/>
              <w:left w:w="150" w:type="dxa"/>
              <w:right w:w="150" w:type="dxa"/>
            </w:tcMar>
          </w:tcPr>
          <w:p>
            <w:pPr>
              <w:pStyle w:val="Compact"/>
              <w:spacing w:after="40"/>
            </w:pPr>
            <w:r>
              <w:rPr>
                <w:sz w:val="18"/>
              </w:rPr>
              <w:t xml:space="preserve">tracks health, latency, failures, and requests</w:t>
            </w:r>
          </w:p>
        </w:tc>
      </w:tr>
      <w:tr>
        <w:tc>
          <w:tcPr>
            <w:vAlign w:val="center"/>
            <w:tcMar>
              <w:top w:w="120" w:type="dxa"/>
              <w:bottom w:w="120" w:type="dxa"/>
              <w:left w:w="150" w:type="dxa"/>
              <w:right w:w="150" w:type="dxa"/>
            </w:tcMar>
          </w:tcPr>
          <w:p>
            <w:pPr>
              <w:pStyle w:val="Compact"/>
              <w:spacing w:after="40"/>
            </w:pPr>
            <w:r>
              <w:rPr>
                <w:sz w:val="18"/>
              </w:rPr>
              <w:t xml:space="preserve">Log Analytics</w:t>
            </w:r>
          </w:p>
        </w:tc>
        <w:tc>
          <w:tcPr>
            <w:vAlign w:val="center"/>
            <w:tcMar>
              <w:top w:w="120" w:type="dxa"/>
              <w:bottom w:w="120" w:type="dxa"/>
              <w:left w:w="150" w:type="dxa"/>
              <w:right w:w="150" w:type="dxa"/>
            </w:tcMar>
          </w:tcPr>
          <w:p>
            <w:pPr>
              <w:pStyle w:val="Compact"/>
              <w:spacing w:after="40"/>
            </w:pPr>
            <w:r>
              <w:rPr>
                <w:sz w:val="18"/>
              </w:rPr>
              <w:t xml:space="preserve">stores logs and diagnostics</w:t>
            </w:r>
          </w:p>
        </w:tc>
      </w:tr>
    </w:tbl>
    <w:p>
      <w:pPr>
        <w:pStyle w:val="BodyText"/>
      </w:pPr>
      <w:r>
        <w:t xml:space="preserve">After deployment:</w:t>
      </w:r>
    </w:p>
    <w:p>
      <w:pPr>
        <w:pStyle w:val="Compact"/>
        <w:numPr>
          <w:ilvl w:val="0"/>
          <w:numId w:val="1006"/>
        </w:numPr>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6"/>
        </w:numPr>
      </w:pPr>
      <w:r>
        <w:t xml:space="preserve">Open the deployed app in a browser.</w:t>
      </w:r>
    </w:p>
    <w:p>
      <w:pPr>
        <w:pStyle w:val="Compact"/>
        <w:numPr>
          <w:ilvl w:val="0"/>
          <w:numId w:val="1006"/>
        </w:numPr>
      </w:pPr>
      <w:r>
        <w:t xml:space="preserve">Check</w:t>
      </w:r>
      <w:r>
        <w:t xml:space="preserve"> </w:t>
      </w:r>
      <w:r>
        <w:rPr>
          <w:rStyle w:val="VerbatimChar"/>
        </w:rPr>
        <w:t xml:space="preserve">&lt;WEB_APP_URL&gt;/health</w:t>
      </w:r>
      <w:r>
        <w:t xml:space="preserve">.</w:t>
      </w:r>
    </w:p>
    <w:p>
      <w:pPr>
        <w:pStyle w:val="Compact"/>
        <w:numPr>
          <w:ilvl w:val="0"/>
          <w:numId w:val="1006"/>
        </w:numPr>
      </w:pPr>
      <w:r>
        <w:t xml:space="preserve">Check</w:t>
      </w:r>
      <w:r>
        <w:t xml:space="preserve"> </w:t>
      </w:r>
      <w:r>
        <w:rPr>
          <w:rStyle w:val="VerbatimChar"/>
        </w:rPr>
        <w:t xml:space="preserve">&lt;WEB_APP_URL&gt;/api/data-status</w:t>
      </w:r>
      <w:r>
        <w:t xml:space="preserve">.</w:t>
      </w:r>
    </w:p>
    <w:p>
      <w:pPr>
        <w:pStyle w:val="Compact"/>
        <w:numPr>
          <w:ilvl w:val="0"/>
          <w:numId w:val="1006"/>
        </w:numPr>
      </w:pPr>
      <w:r>
        <w:t xml:space="preserve">Confirm the active data mode is expected.</w:t>
      </w:r>
    </w:p>
    <w:p>
      <w:pPr>
        <w:pStyle w:val="Compact"/>
        <w:numPr>
          <w:ilvl w:val="0"/>
          <w:numId w:val="1006"/>
        </w:numPr>
      </w:pPr>
      <w:r>
        <w:t xml:space="preserve">Upload processed files to Blob if using Blob mode.</w:t>
      </w:r>
    </w:p>
    <w:p>
      <w:pPr>
        <w:pStyle w:val="Compact"/>
        <w:numPr>
          <w:ilvl w:val="0"/>
          <w:numId w:val="1006"/>
        </w:numPr>
      </w:pPr>
      <w:r>
        <w:t xml:space="preserve">Seed Cosmos DB if using Cosmos mode.</w:t>
      </w:r>
    </w:p>
    <w:p>
      <w:pPr>
        <w:pStyle w:val="Compact"/>
        <w:numPr>
          <w:ilvl w:val="0"/>
          <w:numId w:val="1006"/>
        </w:numPr>
      </w:pPr>
      <w:r>
        <w:t xml:space="preserve">Inspect App Insights if the deployed app fails or loads slowly.</w:t>
      </w:r>
    </w:p>
    <w:p>
      <w:pPr>
        <w:pStyle w:val="FirstParagraph"/>
      </w:pPr>
      <w:r>
        <w:t xml:space="preserve">Optional cloud data steps:</w:t>
      </w:r>
    </w:p>
    <w:p>
      <w:pPr>
        <w:pStyle w:val="SourceCode"/>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pPr>
      <w:r>
        <w:t xml:space="preserve">Teardown when finished:</w:t>
      </w:r>
    </w:p>
    <w:p>
      <w:pPr>
        <w:pStyle w:val="SourceCode"/>
      </w:pPr>
      <w:r>
        <w:rPr>
          <w:rStyle w:val="FunctionTok"/>
        </w:rPr>
        <w:t xml:space="preserve">bash</w:t>
      </w:r>
      <w:r>
        <w:rPr>
          <w:rStyle w:val="NormalTok"/>
        </w:rPr>
        <w:t xml:space="preserve"> scripts/destroy_resource_group.sh </w:t>
      </w:r>
      <w:r>
        <w:rPr>
          <w:rStyle w:val="AttributeTok"/>
        </w:rPr>
        <w:t xml:space="preserve">--yes</w:t>
      </w:r>
    </w:p>
    <w:p>
      <w:pPr>
        <w:pStyle w:val="FirstParagraph"/>
      </w:pPr>
      <w:r>
        <w:t xml:space="preserve">The teardown script deletes the current Azure resource group and intentionally requires</w:t>
      </w:r>
      <w:r>
        <w:t xml:space="preserve"> </w:t>
      </w:r>
      <w:r>
        <w:rPr>
          <w:rStyle w:val="VerbatimChar"/>
        </w:rPr>
        <w:t xml:space="preserve">--yes</w:t>
      </w:r>
      <w:r>
        <w:t xml:space="preserve">.</w:t>
      </w:r>
    </w:p>
    <w:p>
      <w:pPr>
        <w:pStyle w:val="BodyText"/>
        <w:spacing w:before="60" w:after="100"/>
        <w:jc w:val="center"/>
      </w:pPr>
      <w:r>
        <w:drawing>
          <wp:inline>
            <wp:extent cx="6748272" cy="8732520"/>
            <wp:effectExtent b="0" l="0" r="0" t="0"/>
            <wp:docPr descr="" title="" id="76" name="Picture"/>
            <a:graphic>
              <a:graphicData uri="http://schemas.openxmlformats.org/drawingml/2006/picture">
                <pic:pic>
                  <pic:nvPicPr>
                    <pic:cNvPr descr="docs/assets/rebuild-guide/premium-track-adaptation-routes.png" id="77" name="Picture"/>
                    <pic:cNvPicPr>
                      <a:picLocks noChangeArrowheads="1" noChangeAspect="1"/>
                    </pic:cNvPicPr>
                  </pic:nvPicPr>
                  <pic:blipFill>
                    <a:blip r:embed="rId75"/>
                    <a:stretch>
                      <a:fillRect/>
                    </a:stretch>
                  </pic:blipFill>
                  <pic:spPr bwMode="auto">
                    <a:xfrm>
                      <a:off x="0" y="0"/>
                      <a:ext cx="6748272" cy="8732520"/>
                    </a:xfrm>
                    <a:prstGeom prst="rect">
                      <a:avLst/>
                    </a:prstGeom>
                    <a:noFill/>
                    <a:ln w="9525">
                      <a:noFill/>
                      <a:headEnd/>
                      <a:tailEnd/>
                    </a:ln>
                  </pic:spPr>
                </pic:pic>
              </a:graphicData>
            </a:graphic>
          </wp:inline>
        </w:drawing>
      </w:r>
    </w:p>
    <w:bookmarkEnd w:id="78"/>
    <w:bookmarkEnd w:id="79"/>
    <w:bookmarkStart w:id="84" w:name="starter-kit-adaptation-routes"/>
    <w:p>
      <w:pPr>
        <w:pStyle w:val="Heading1"/>
        <w:jc w:val="left"/>
      </w:pPr>
      <w:r>
        <w:t xml:space="preserve">9. Starter Kit Adaptation Routes</w:t>
      </w:r>
    </w:p>
    <w:p>
      <w:pPr>
        <w:pStyle w:val="FirstParagraph"/>
      </w:pPr>
      <w:r>
        <w:t xml:space="preserve">Treat this codebase as a scaffold. Teams should keep the working shell, replace the domain data, and adapt the score or map layers toward the track they are pursuing.</w:t>
      </w:r>
    </w:p>
    <w:bookmarkStart w:id="80" w:name="route-1-mobility-command-view"/>
    <w:p>
      <w:pPr>
        <w:pStyle w:val="Heading2"/>
        <w:jc w:val="left"/>
      </w:pPr>
      <w:r>
        <w:t xml:space="preserve">Route 1: Mobility Command View</w:t>
      </w:r>
    </w:p>
    <w:p>
      <w:pPr>
        <w:pStyle w:val="FirstParagraph"/>
      </w:pPr>
      <w:r>
        <w:t xml:space="preserve">Best fit: Transformational Technology.</w:t>
      </w:r>
    </w:p>
    <w:p>
      <w:pPr>
        <w:pStyle w:val="BodyText"/>
      </w:pPr>
      <w:r>
        <w:t xml:space="preserve">Keep:</w:t>
      </w:r>
    </w:p>
    <w:p>
      <w:pPr>
        <w:pStyle w:val="Compact"/>
        <w:numPr>
          <w:ilvl w:val="0"/>
          <w:numId w:val="1007"/>
        </w:numPr>
      </w:pPr>
      <w:r>
        <w:t xml:space="preserve">route layers</w:t>
      </w:r>
    </w:p>
    <w:p>
      <w:pPr>
        <w:pStyle w:val="Compact"/>
        <w:numPr>
          <w:ilvl w:val="0"/>
          <w:numId w:val="1007"/>
        </w:numPr>
      </w:pPr>
      <w:r>
        <w:t xml:space="preserve">event overlay</w:t>
      </w:r>
    </w:p>
    <w:p>
      <w:pPr>
        <w:pStyle w:val="Compact"/>
        <w:numPr>
          <w:ilvl w:val="0"/>
          <w:numId w:val="1007"/>
        </w:numPr>
      </w:pPr>
      <w:r>
        <w:t xml:space="preserve">district selector</w:t>
      </w:r>
    </w:p>
    <w:p>
      <w:pPr>
        <w:pStyle w:val="Compact"/>
        <w:numPr>
          <w:ilvl w:val="0"/>
          <w:numId w:val="1007"/>
        </w:numPr>
      </w:pPr>
      <w:r>
        <w:t xml:space="preserve">route KPIs</w:t>
      </w:r>
    </w:p>
    <w:p>
      <w:pPr>
        <w:pStyle w:val="Compact"/>
        <w:numPr>
          <w:ilvl w:val="0"/>
          <w:numId w:val="1007"/>
        </w:numPr>
      </w:pPr>
      <w:r>
        <w:t xml:space="preserve">data-status debugging</w:t>
      </w:r>
    </w:p>
    <w:p>
      <w:pPr>
        <w:pStyle w:val="FirstParagraph"/>
      </w:pPr>
      <w:r>
        <w:t xml:space="preserve">Replace or add:</w:t>
      </w:r>
    </w:p>
    <w:p>
      <w:pPr>
        <w:pStyle w:val="Compact"/>
        <w:numPr>
          <w:ilvl w:val="0"/>
          <w:numId w:val="1008"/>
        </w:numPr>
      </w:pPr>
      <w:r>
        <w:t xml:space="preserve">real congestion or delay source</w:t>
      </w:r>
    </w:p>
    <w:p>
      <w:pPr>
        <w:pStyle w:val="Compact"/>
        <w:numPr>
          <w:ilvl w:val="0"/>
          <w:numId w:val="1008"/>
        </w:numPr>
      </w:pPr>
      <w:r>
        <w:t xml:space="preserve">parking demand layer</w:t>
      </w:r>
    </w:p>
    <w:p>
      <w:pPr>
        <w:pStyle w:val="Compact"/>
        <w:numPr>
          <w:ilvl w:val="0"/>
          <w:numId w:val="1008"/>
        </w:numPr>
      </w:pPr>
      <w:r>
        <w:t xml:space="preserve">peak-load simulation</w:t>
      </w:r>
    </w:p>
    <w:p>
      <w:pPr>
        <w:pStyle w:val="Compact"/>
        <w:numPr>
          <w:ilvl w:val="0"/>
          <w:numId w:val="1008"/>
        </w:numPr>
      </w:pPr>
      <w:r>
        <w:t xml:space="preserve">route delay explanations</w:t>
      </w:r>
    </w:p>
    <w:p>
      <w:pPr>
        <w:pStyle w:val="FirstParagraph"/>
      </w:pPr>
      <w:r>
        <w:t xml:space="preserve">Likely Azure services: Azure Maps, Container Apps, Event Hubs, Stream Analytics, Cosmos DB, Application Insights.</w:t>
      </w:r>
    </w:p>
    <w:bookmarkEnd w:id="80"/>
    <w:bookmarkStart w:id="81" w:name="route-2-district-intelligence"/>
    <w:p>
      <w:pPr>
        <w:pStyle w:val="Heading2"/>
        <w:jc w:val="left"/>
      </w:pPr>
      <w:r>
        <w:t xml:space="preserve">Route 2: District Intelligence</w:t>
      </w:r>
    </w:p>
    <w:p>
      <w:pPr>
        <w:pStyle w:val="FirstParagraph"/>
      </w:pPr>
      <w:r>
        <w:t xml:space="preserve">Best fit: Prosperous People.</w:t>
      </w:r>
    </w:p>
    <w:p>
      <w:pPr>
        <w:pStyle w:val="BodyText"/>
      </w:pPr>
      <w:r>
        <w:t xml:space="preserve">Keep:</w:t>
      </w:r>
    </w:p>
    <w:p>
      <w:pPr>
        <w:pStyle w:val="Compact"/>
        <w:numPr>
          <w:ilvl w:val="0"/>
          <w:numId w:val="1009"/>
        </w:numPr>
      </w:pPr>
      <w:r>
        <w:t xml:space="preserve">district selector</w:t>
      </w:r>
    </w:p>
    <w:p>
      <w:pPr>
        <w:pStyle w:val="Compact"/>
        <w:numPr>
          <w:ilvl w:val="0"/>
          <w:numId w:val="1009"/>
        </w:numPr>
      </w:pPr>
      <w:r>
        <w:t xml:space="preserve">scoring panel</w:t>
      </w:r>
    </w:p>
    <w:p>
      <w:pPr>
        <w:pStyle w:val="Compact"/>
        <w:numPr>
          <w:ilvl w:val="0"/>
          <w:numId w:val="1009"/>
        </w:numPr>
      </w:pPr>
      <w:r>
        <w:t xml:space="preserve">map focus behavior</w:t>
      </w:r>
    </w:p>
    <w:p>
      <w:pPr>
        <w:pStyle w:val="Compact"/>
        <w:numPr>
          <w:ilvl w:val="0"/>
          <w:numId w:val="1009"/>
        </w:numPr>
      </w:pPr>
      <w:r>
        <w:t xml:space="preserve">Cosmos-ready district records</w:t>
      </w:r>
    </w:p>
    <w:p>
      <w:pPr>
        <w:pStyle w:val="FirstParagraph"/>
      </w:pPr>
      <w:r>
        <w:t xml:space="preserve">Replace or add:</w:t>
      </w:r>
    </w:p>
    <w:p>
      <w:pPr>
        <w:pStyle w:val="Compact"/>
        <w:numPr>
          <w:ilvl w:val="0"/>
          <w:numId w:val="1010"/>
        </w:numPr>
      </w:pPr>
      <w:r>
        <w:t xml:space="preserve">service access layers such as clinics, schools, parks, or transit stops</w:t>
      </w:r>
    </w:p>
    <w:p>
      <w:pPr>
        <w:pStyle w:val="Compact"/>
        <w:numPr>
          <w:ilvl w:val="0"/>
          <w:numId w:val="1010"/>
        </w:numPr>
      </w:pPr>
      <w:r>
        <w:t xml:space="preserve">15-minute city score</w:t>
      </w:r>
    </w:p>
    <w:p>
      <w:pPr>
        <w:pStyle w:val="Compact"/>
        <w:numPr>
          <w:ilvl w:val="0"/>
          <w:numId w:val="1010"/>
        </w:numPr>
      </w:pPr>
      <w:r>
        <w:t xml:space="preserve">walkability indicators</w:t>
      </w:r>
    </w:p>
    <w:p>
      <w:pPr>
        <w:pStyle w:val="Compact"/>
        <w:numPr>
          <w:ilvl w:val="0"/>
          <w:numId w:val="1010"/>
        </w:numPr>
      </w:pPr>
      <w:r>
        <w:t xml:space="preserve">district comparison panel</w:t>
      </w:r>
    </w:p>
    <w:p>
      <w:pPr>
        <w:pStyle w:val="FirstParagraph"/>
      </w:pPr>
      <w:r>
        <w:t xml:space="preserve">Likely Azure services: Azure Maps, Blob Storage, Cosmos DB, Container Apps, optional Azure OpenAI for plain-language score explanations.</w:t>
      </w:r>
    </w:p>
    <w:bookmarkEnd w:id="81"/>
    <w:bookmarkStart w:id="82" w:name="route-3-sustainable-mobility-overlay"/>
    <w:p>
      <w:pPr>
        <w:pStyle w:val="Heading2"/>
        <w:jc w:val="left"/>
      </w:pPr>
      <w:r>
        <w:t xml:space="preserve">Route 3: Sustainable Mobility Overlay</w:t>
      </w:r>
    </w:p>
    <w:p>
      <w:pPr>
        <w:pStyle w:val="FirstParagraph"/>
      </w:pPr>
      <w:r>
        <w:t xml:space="preserve">Best fit: Sustainable Solutions.</w:t>
      </w:r>
    </w:p>
    <w:p>
      <w:pPr>
        <w:pStyle w:val="BodyText"/>
      </w:pPr>
      <w:r>
        <w:t xml:space="preserve">Keep:</w:t>
      </w:r>
    </w:p>
    <w:p>
      <w:pPr>
        <w:pStyle w:val="Compact"/>
        <w:numPr>
          <w:ilvl w:val="0"/>
          <w:numId w:val="1011"/>
        </w:numPr>
      </w:pPr>
      <w:r>
        <w:t xml:space="preserve">mobility layers</w:t>
      </w:r>
    </w:p>
    <w:p>
      <w:pPr>
        <w:pStyle w:val="Compact"/>
        <w:numPr>
          <w:ilvl w:val="0"/>
          <w:numId w:val="1011"/>
        </w:numPr>
      </w:pPr>
      <w:r>
        <w:t xml:space="preserve">selected district context</w:t>
      </w:r>
    </w:p>
    <w:p>
      <w:pPr>
        <w:pStyle w:val="Compact"/>
        <w:numPr>
          <w:ilvl w:val="0"/>
          <w:numId w:val="1011"/>
        </w:numPr>
      </w:pPr>
      <w:r>
        <w:t xml:space="preserve">route scoring pattern</w:t>
      </w:r>
    </w:p>
    <w:p>
      <w:pPr>
        <w:pStyle w:val="Compact"/>
        <w:numPr>
          <w:ilvl w:val="0"/>
          <w:numId w:val="1011"/>
        </w:numPr>
      </w:pPr>
      <w:r>
        <w:t xml:space="preserve">fallback-aware sample files</w:t>
      </w:r>
    </w:p>
    <w:p>
      <w:pPr>
        <w:pStyle w:val="FirstParagraph"/>
      </w:pPr>
      <w:r>
        <w:t xml:space="preserve">Replace or add:</w:t>
      </w:r>
    </w:p>
    <w:p>
      <w:pPr>
        <w:pStyle w:val="Compact"/>
        <w:numPr>
          <w:ilvl w:val="0"/>
          <w:numId w:val="1012"/>
        </w:numPr>
      </w:pPr>
      <w:r>
        <w:t xml:space="preserve">AQI stations</w:t>
      </w:r>
    </w:p>
    <w:p>
      <w:pPr>
        <w:pStyle w:val="Compact"/>
        <w:numPr>
          <w:ilvl w:val="0"/>
          <w:numId w:val="1012"/>
        </w:numPr>
      </w:pPr>
      <w:r>
        <w:t xml:space="preserve">heat layer</w:t>
      </w:r>
    </w:p>
    <w:p>
      <w:pPr>
        <w:pStyle w:val="Compact"/>
        <w:numPr>
          <w:ilvl w:val="0"/>
          <w:numId w:val="1012"/>
        </w:numPr>
      </w:pPr>
      <w:r>
        <w:t xml:space="preserve">pollution hotspot markers</w:t>
      </w:r>
    </w:p>
    <w:p>
      <w:pPr>
        <w:pStyle w:val="Compact"/>
        <w:numPr>
          <w:ilvl w:val="0"/>
          <w:numId w:val="1012"/>
        </w:numPr>
      </w:pPr>
      <w:r>
        <w:t xml:space="preserve">clean corridor recommendations</w:t>
      </w:r>
    </w:p>
    <w:p>
      <w:pPr>
        <w:pStyle w:val="Compact"/>
        <w:numPr>
          <w:ilvl w:val="0"/>
          <w:numId w:val="1012"/>
        </w:numPr>
      </w:pPr>
      <w:r>
        <w:t xml:space="preserve">emissions or low-carbon route scoring</w:t>
      </w:r>
    </w:p>
    <w:p>
      <w:pPr>
        <w:pStyle w:val="FirstParagraph"/>
      </w:pPr>
      <w:r>
        <w:t xml:space="preserve">Likely Azure services: Azure Maps, Blob Storage, Cosmos DB, Power BI, Application Insights.</w:t>
      </w:r>
    </w:p>
    <w:bookmarkEnd w:id="82"/>
    <w:bookmarkStart w:id="83" w:name="route-4-culture-and-visitor-movement"/>
    <w:p>
      <w:pPr>
        <w:pStyle w:val="Heading2"/>
        <w:jc w:val="left"/>
      </w:pPr>
      <w:r>
        <w:t xml:space="preserve">Route 4: Culture and Visitor Movement</w:t>
      </w:r>
    </w:p>
    <w:p>
      <w:pPr>
        <w:pStyle w:val="FirstParagraph"/>
      </w:pPr>
      <w:r>
        <w:t xml:space="preserve">Best fit: Culture.</w:t>
      </w:r>
    </w:p>
    <w:p>
      <w:pPr>
        <w:pStyle w:val="BodyText"/>
      </w:pPr>
      <w:r>
        <w:t xml:space="preserve">Keep:</w:t>
      </w:r>
    </w:p>
    <w:p>
      <w:pPr>
        <w:pStyle w:val="Compact"/>
        <w:numPr>
          <w:ilvl w:val="0"/>
          <w:numId w:val="1013"/>
        </w:numPr>
      </w:pPr>
      <w:r>
        <w:t xml:space="preserve">map layer structure</w:t>
      </w:r>
    </w:p>
    <w:p>
      <w:pPr>
        <w:pStyle w:val="Compact"/>
        <w:numPr>
          <w:ilvl w:val="0"/>
          <w:numId w:val="1013"/>
        </w:numPr>
      </w:pPr>
      <w:r>
        <w:t xml:space="preserve">event markers</w:t>
      </w:r>
    </w:p>
    <w:p>
      <w:pPr>
        <w:pStyle w:val="Compact"/>
        <w:numPr>
          <w:ilvl w:val="0"/>
          <w:numId w:val="1013"/>
        </w:numPr>
      </w:pPr>
      <w:r>
        <w:t xml:space="preserve">route overlays</w:t>
      </w:r>
    </w:p>
    <w:p>
      <w:pPr>
        <w:pStyle w:val="Compact"/>
        <w:numPr>
          <w:ilvl w:val="0"/>
          <w:numId w:val="1013"/>
        </w:numPr>
      </w:pPr>
      <w:r>
        <w:t xml:space="preserve">selected place or district panel</w:t>
      </w:r>
    </w:p>
    <w:p>
      <w:pPr>
        <w:pStyle w:val="FirstParagraph"/>
      </w:pPr>
      <w:r>
        <w:t xml:space="preserve">Replace or add:</w:t>
      </w:r>
    </w:p>
    <w:p>
      <w:pPr>
        <w:pStyle w:val="Compact"/>
        <w:numPr>
          <w:ilvl w:val="0"/>
          <w:numId w:val="1014"/>
        </w:numPr>
      </w:pPr>
      <w:r>
        <w:t xml:space="preserve">heritage site markers</w:t>
      </w:r>
    </w:p>
    <w:p>
      <w:pPr>
        <w:pStyle w:val="Compact"/>
        <w:numPr>
          <w:ilvl w:val="0"/>
          <w:numId w:val="1014"/>
        </w:numPr>
      </w:pPr>
      <w:r>
        <w:t xml:space="preserve">crowd-sensitive route suggestions</w:t>
      </w:r>
    </w:p>
    <w:p>
      <w:pPr>
        <w:pStyle w:val="Compact"/>
        <w:numPr>
          <w:ilvl w:val="0"/>
          <w:numId w:val="1014"/>
        </w:numPr>
      </w:pPr>
      <w:r>
        <w:t xml:space="preserve">multilingual visitor notes</w:t>
      </w:r>
    </w:p>
    <w:p>
      <w:pPr>
        <w:pStyle w:val="Compact"/>
        <w:numPr>
          <w:ilvl w:val="0"/>
          <w:numId w:val="1014"/>
        </w:numPr>
      </w:pPr>
      <w:r>
        <w:t xml:space="preserve">event-day access planning</w:t>
      </w:r>
    </w:p>
    <w:p>
      <w:pPr>
        <w:pStyle w:val="FirstParagraph"/>
      </w:pPr>
      <w:r>
        <w:t xml:space="preserve">Likely Azure services: Azure Maps, Cosmos DB, Blob Storage, Container Apps, optional translation services.</w:t>
      </w:r>
    </w:p>
    <w:bookmarkEnd w:id="83"/>
    <w:bookmarkEnd w:id="84"/>
    <w:bookmarkStart w:id="85" w:name="demo-flow"/>
    <w:p>
      <w:pPr>
        <w:pStyle w:val="Heading1"/>
        <w:jc w:val="left"/>
      </w:pPr>
      <w:r>
        <w:t xml:space="preserve">10. Demo Flow</w:t>
      </w:r>
    </w:p>
    <w:p>
      <w:pPr>
        <w:pStyle w:val="FirstParagraph"/>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Step</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Show</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Explain</w:t>
            </w:r>
          </w:p>
        </w:tc>
      </w:tr>
      <w:tr>
        <w:tc>
          <w:tcPr>
            <w:vAlign w:val="center"/>
            <w:tcMar>
              <w:top w:w="120" w:type="dxa"/>
              <w:bottom w:w="120" w:type="dxa"/>
              <w:left w:w="150" w:type="dxa"/>
              <w:right w:w="150" w:type="dxa"/>
            </w:tcMar>
          </w:tcPr>
          <w:p>
            <w:pPr>
              <w:pStyle w:val="Compact"/>
              <w:spacing w:after="40"/>
              <w:jc w:val="right"/>
            </w:pPr>
            <w:r>
              <w:rPr>
                <w:sz w:val="18"/>
              </w:rPr>
              <w:t xml:space="preserve">1</w:t>
            </w:r>
          </w:p>
        </w:tc>
        <w:tc>
          <w:tcPr>
            <w:vAlign w:val="center"/>
            <w:tcMar>
              <w:top w:w="120" w:type="dxa"/>
              <w:bottom w:w="120" w:type="dxa"/>
              <w:left w:w="150" w:type="dxa"/>
              <w:right w:w="150" w:type="dxa"/>
            </w:tcMar>
          </w:tcPr>
          <w:p>
            <w:pPr>
              <w:pStyle w:val="Compact"/>
              <w:spacing w:after="40"/>
            </w:pPr>
            <w:r>
              <w:rPr>
                <w:sz w:val="18"/>
              </w:rPr>
              <w:t xml:space="preserve">Dashboard landing view</w:t>
            </w:r>
          </w:p>
        </w:tc>
        <w:tc>
          <w:tcPr>
            <w:vAlign w:val="center"/>
            <w:tcMar>
              <w:top w:w="120" w:type="dxa"/>
              <w:bottom w:w="120" w:type="dxa"/>
              <w:left w:w="150" w:type="dxa"/>
              <w:right w:w="150" w:type="dxa"/>
            </w:tcMar>
          </w:tcPr>
          <w:p>
            <w:pPr>
              <w:pStyle w:val="Compact"/>
              <w:spacing w:after="40"/>
            </w:pPr>
            <w:r>
              <w:rPr>
                <w:sz w:val="18"/>
              </w:rPr>
              <w:t xml:space="preserve">This is a Riyadh mobility intelligence starter kit, not just a static map</w:t>
            </w:r>
          </w:p>
        </w:tc>
      </w:tr>
      <w:tr>
        <w:tc>
          <w:tcPr>
            <w:vAlign w:val="center"/>
            <w:tcMar>
              <w:top w:w="120" w:type="dxa"/>
              <w:bottom w:w="120" w:type="dxa"/>
              <w:left w:w="150" w:type="dxa"/>
              <w:right w:w="150" w:type="dxa"/>
            </w:tcMar>
          </w:tcPr>
          <w:p>
            <w:pPr>
              <w:pStyle w:val="Compact"/>
              <w:spacing w:after="40"/>
              <w:jc w:val="right"/>
            </w:pPr>
            <w:r>
              <w:rPr>
                <w:sz w:val="18"/>
              </w:rPr>
              <w:t xml:space="preserve">2</w:t>
            </w:r>
          </w:p>
        </w:tc>
        <w:tc>
          <w:tcPr>
            <w:vAlign w:val="center"/>
            <w:tcMar>
              <w:top w:w="120" w:type="dxa"/>
              <w:bottom w:w="120" w:type="dxa"/>
              <w:left w:w="150" w:type="dxa"/>
              <w:right w:w="150" w:type="dxa"/>
            </w:tcMar>
          </w:tcPr>
          <w:p>
            <w:pPr>
              <w:pStyle w:val="Compact"/>
              <w:spacing w:after="40"/>
            </w:pPr>
            <w:r>
              <w:rPr>
                <w:sz w:val="18"/>
              </w:rPr>
              <w:t xml:space="preserve">Metro and bus toggles</w:t>
            </w:r>
          </w:p>
        </w:tc>
        <w:tc>
          <w:tcPr>
            <w:vAlign w:val="center"/>
            <w:tcMar>
              <w:top w:w="120" w:type="dxa"/>
              <w:bottom w:w="120" w:type="dxa"/>
              <w:left w:w="150" w:type="dxa"/>
              <w:right w:w="150" w:type="dxa"/>
            </w:tcMar>
          </w:tcPr>
          <w:p>
            <w:pPr>
              <w:pStyle w:val="Compact"/>
              <w:spacing w:after="40"/>
            </w:pPr>
            <w:r>
              <w:rPr>
                <w:sz w:val="18"/>
              </w:rPr>
              <w:t xml:space="preserve">The map layers show public transport coverage</w:t>
            </w:r>
          </w:p>
        </w:tc>
      </w:tr>
      <w:tr>
        <w:tc>
          <w:tcPr>
            <w:vAlign w:val="center"/>
            <w:tcMar>
              <w:top w:w="120" w:type="dxa"/>
              <w:bottom w:w="120" w:type="dxa"/>
              <w:left w:w="150" w:type="dxa"/>
              <w:right w:w="150" w:type="dxa"/>
            </w:tcMar>
          </w:tcPr>
          <w:p>
            <w:pPr>
              <w:pStyle w:val="Compact"/>
              <w:spacing w:after="40"/>
              <w:jc w:val="right"/>
            </w:pPr>
            <w:r>
              <w:rPr>
                <w:sz w:val="18"/>
              </w:rPr>
              <w:t xml:space="preserve">3</w:t>
            </w:r>
          </w:p>
        </w:tc>
        <w:tc>
          <w:tcPr>
            <w:vAlign w:val="center"/>
            <w:tcMar>
              <w:top w:w="120" w:type="dxa"/>
              <w:bottom w:w="120" w:type="dxa"/>
              <w:left w:w="150" w:type="dxa"/>
              <w:right w:w="150" w:type="dxa"/>
            </w:tcMar>
          </w:tcPr>
          <w:p>
            <w:pPr>
              <w:pStyle w:val="Compact"/>
              <w:spacing w:after="40"/>
            </w:pPr>
            <w:r>
              <w:rPr>
                <w:sz w:val="18"/>
              </w:rPr>
              <w:t xml:space="preserve">District selector</w:t>
            </w:r>
          </w:p>
        </w:tc>
        <w:tc>
          <w:tcPr>
            <w:vAlign w:val="center"/>
            <w:tcMar>
              <w:top w:w="120" w:type="dxa"/>
              <w:bottom w:w="120" w:type="dxa"/>
              <w:left w:w="150" w:type="dxa"/>
              <w:right w:w="150" w:type="dxa"/>
            </w:tcMar>
          </w:tcPr>
          <w:p>
            <w:pPr>
              <w:pStyle w:val="Compact"/>
              <w:spacing w:after="40"/>
            </w:pPr>
            <w:r>
              <w:rPr>
                <w:sz w:val="18"/>
              </w:rPr>
              <w:t xml:space="preserve">District context drives the scoring workflow</w:t>
            </w:r>
          </w:p>
        </w:tc>
      </w:tr>
      <w:tr>
        <w:tc>
          <w:tcPr>
            <w:vAlign w:val="center"/>
            <w:tcMar>
              <w:top w:w="120" w:type="dxa"/>
              <w:bottom w:w="120" w:type="dxa"/>
              <w:left w:w="150" w:type="dxa"/>
              <w:right w:w="150" w:type="dxa"/>
            </w:tcMar>
          </w:tcPr>
          <w:p>
            <w:pPr>
              <w:pStyle w:val="Compact"/>
              <w:spacing w:after="40"/>
              <w:jc w:val="right"/>
            </w:pPr>
            <w:r>
              <w:rPr>
                <w:sz w:val="18"/>
              </w:rPr>
              <w:t xml:space="preserve">4</w:t>
            </w:r>
          </w:p>
        </w:tc>
        <w:tc>
          <w:tcPr>
            <w:vAlign w:val="center"/>
            <w:tcMar>
              <w:top w:w="120" w:type="dxa"/>
              <w:bottom w:w="120" w:type="dxa"/>
              <w:left w:w="150" w:type="dxa"/>
              <w:right w:w="150" w:type="dxa"/>
            </w:tcMar>
          </w:tcPr>
          <w:p>
            <w:pPr>
              <w:pStyle w:val="Compact"/>
              <w:spacing w:after="40"/>
            </w:pPr>
            <w:r>
              <w:rPr>
                <w:sz w:val="18"/>
              </w:rPr>
              <w:t xml:space="preserve">Score panel</w:t>
            </w:r>
          </w:p>
        </w:tc>
        <w:tc>
          <w:tcPr>
            <w:vAlign w:val="center"/>
            <w:tcMar>
              <w:top w:w="120" w:type="dxa"/>
              <w:bottom w:w="120" w:type="dxa"/>
              <w:left w:w="150" w:type="dxa"/>
              <w:right w:w="150" w:type="dxa"/>
            </w:tcMar>
          </w:tcPr>
          <w:p>
            <w:pPr>
              <w:pStyle w:val="Compact"/>
              <w:spacing w:after="40"/>
            </w:pPr>
            <w:r>
              <w:rPr>
                <w:sz w:val="18"/>
              </w:rPr>
              <w:t xml:space="preserve">The score is transparent and easy to adapt</w:t>
            </w:r>
          </w:p>
        </w:tc>
      </w:tr>
      <w:tr>
        <w:tc>
          <w:tcPr>
            <w:vAlign w:val="center"/>
            <w:tcMar>
              <w:top w:w="120" w:type="dxa"/>
              <w:bottom w:w="120" w:type="dxa"/>
              <w:left w:w="150" w:type="dxa"/>
              <w:right w:w="150" w:type="dxa"/>
            </w:tcMar>
          </w:tcPr>
          <w:p>
            <w:pPr>
              <w:pStyle w:val="Compact"/>
              <w:spacing w:after="40"/>
              <w:jc w:val="right"/>
            </w:pPr>
            <w:r>
              <w:rPr>
                <w:sz w:val="18"/>
              </w:rPr>
              <w:t xml:space="preserve">5</w:t>
            </w:r>
          </w:p>
        </w:tc>
        <w:tc>
          <w:tcPr>
            <w:vAlign w:val="center"/>
            <w:tcMar>
              <w:top w:w="120" w:type="dxa"/>
              <w:bottom w:w="120" w:type="dxa"/>
              <w:left w:w="150" w:type="dxa"/>
              <w:right w:w="150" w:type="dxa"/>
            </w:tcMar>
          </w:tcPr>
          <w:p>
            <w:pPr>
              <w:pStyle w:val="Compact"/>
              <w:spacing w:after="40"/>
            </w:pPr>
            <w:r>
              <w:rPr>
                <w:rStyle w:val="VerbatimChar"/>
                <w:sz w:val="18"/>
              </w:rPr>
              <w:t xml:space="preserve">/api/data-status</w:t>
            </w:r>
          </w:p>
        </w:tc>
        <w:tc>
          <w:tcPr>
            <w:vAlign w:val="center"/>
            <w:tcMar>
              <w:top w:w="120" w:type="dxa"/>
              <w:bottom w:w="120" w:type="dxa"/>
              <w:left w:w="150" w:type="dxa"/>
              <w:right w:w="150" w:type="dxa"/>
            </w:tcMar>
          </w:tcPr>
          <w:p>
            <w:pPr>
              <w:pStyle w:val="Compact"/>
              <w:spacing w:after="40"/>
            </w:pPr>
            <w:r>
              <w:rPr>
                <w:sz w:val="18"/>
              </w:rPr>
              <w:t xml:space="preserve">The app is fallback-aware and cloud-live ready</w:t>
            </w:r>
          </w:p>
        </w:tc>
      </w:tr>
      <w:tr>
        <w:tc>
          <w:tcPr>
            <w:vAlign w:val="center"/>
            <w:tcMar>
              <w:top w:w="120" w:type="dxa"/>
              <w:bottom w:w="120" w:type="dxa"/>
              <w:left w:w="150" w:type="dxa"/>
              <w:right w:w="150" w:type="dxa"/>
            </w:tcMar>
          </w:tcPr>
          <w:p>
            <w:pPr>
              <w:pStyle w:val="Compact"/>
              <w:spacing w:after="40"/>
              <w:jc w:val="right"/>
            </w:pPr>
            <w:r>
              <w:rPr>
                <w:sz w:val="18"/>
              </w:rPr>
              <w:t xml:space="preserve">6</w:t>
            </w:r>
          </w:p>
        </w:tc>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sz w:val="18"/>
              </w:rPr>
              <w:t xml:space="preserve">Services map to hosting, maps, files, records, and monitoring</w:t>
            </w:r>
          </w:p>
        </w:tc>
      </w:tr>
      <w:tr>
        <w:tc>
          <w:tcPr>
            <w:vAlign w:val="center"/>
            <w:tcMar>
              <w:top w:w="120" w:type="dxa"/>
              <w:bottom w:w="120" w:type="dxa"/>
              <w:left w:w="150" w:type="dxa"/>
              <w:right w:w="150" w:type="dxa"/>
            </w:tcMar>
          </w:tcPr>
          <w:p>
            <w:pPr>
              <w:pStyle w:val="Compact"/>
              <w:spacing w:after="40"/>
              <w:jc w:val="right"/>
            </w:pPr>
            <w:r>
              <w:rPr>
                <w:sz w:val="18"/>
              </w:rPr>
              <w:t xml:space="preserve">7</w:t>
            </w:r>
          </w:p>
        </w:tc>
        <w:tc>
          <w:tcPr>
            <w:vAlign w:val="center"/>
            <w:tcMar>
              <w:top w:w="120" w:type="dxa"/>
              <w:bottom w:w="120" w:type="dxa"/>
              <w:left w:w="150" w:type="dxa"/>
              <w:right w:w="150" w:type="dxa"/>
            </w:tcMar>
          </w:tcPr>
          <w:p>
            <w:pPr>
              <w:pStyle w:val="Compact"/>
              <w:spacing w:after="40"/>
            </w:pPr>
            <w:r>
              <w:rPr>
                <w:sz w:val="18"/>
              </w:rPr>
              <w:t xml:space="preserve">Adaptation routes</w:t>
            </w:r>
          </w:p>
        </w:tc>
        <w:tc>
          <w:tcPr>
            <w:vAlign w:val="center"/>
            <w:tcMar>
              <w:top w:w="120" w:type="dxa"/>
              <w:bottom w:w="120" w:type="dxa"/>
              <w:left w:w="150" w:type="dxa"/>
              <w:right w:w="150" w:type="dxa"/>
            </w:tcMar>
          </w:tcPr>
          <w:p>
            <w:pPr>
              <w:pStyle w:val="Compact"/>
              <w:spacing w:after="40"/>
            </w:pPr>
            <w:r>
              <w:rPr>
                <w:sz w:val="18"/>
              </w:rPr>
              <w:t xml:space="preserve">The same scaffold supports multiple hackathon tracks</w:t>
            </w:r>
          </w:p>
        </w:tc>
      </w:tr>
    </w:tbl>
    <w:p>
      <w:pPr>
        <w:pStyle w:val="BodyText"/>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85"/>
    <w:bookmarkStart w:id="99" w:name="appendix"/>
    <w:p>
      <w:pPr>
        <w:pStyle w:val="Heading1"/>
        <w:jc w:val="left"/>
      </w:pPr>
      <w:r>
        <w:t xml:space="preserve">Appendix</w:t>
      </w:r>
    </w:p>
    <w:bookmarkStart w:id="86" w:name="common-commands"/>
    <w:p>
      <w:pPr>
        <w:pStyle w:val="Heading2"/>
        <w:jc w:val="left"/>
      </w:pPr>
      <w:r>
        <w:t xml:space="preserve">Common Commands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86"/>
    <w:bookmarkStart w:id="87" w:name="debugging-checklist"/>
    <w:p>
      <w:pPr>
        <w:pStyle w:val="Heading2"/>
        <w:jc w:val="left"/>
      </w:pPr>
      <w:r>
        <w:t xml:space="preserve">Debugging Checklist</w:t>
      </w:r>
    </w:p>
    <w:p>
      <w:pPr>
        <w:pStyle w:val="Compact"/>
        <w:numPr>
          <w:ilvl w:val="0"/>
          <w:numId w:val="1015"/>
        </w:numPr>
      </w:pPr>
      <w:r>
        <w:t xml:space="preserve">If the page loads slowly, wait for the district selector, layer controls, map area, and score panel before judging success.</w:t>
      </w:r>
    </w:p>
    <w:p>
      <w:pPr>
        <w:pStyle w:val="Compact"/>
        <w:numPr>
          <w:ilvl w:val="0"/>
          <w:numId w:val="1015"/>
        </w:numPr>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5"/>
        </w:numPr>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5"/>
        </w:numPr>
      </w:pPr>
      <w:r>
        <w:t xml:space="preserve">If sample files fail, run</w:t>
      </w:r>
      <w:r>
        <w:t xml:space="preserve"> </w:t>
      </w:r>
      <w:r>
        <w:rPr>
          <w:rStyle w:val="VerbatimChar"/>
        </w:rPr>
        <w:t xml:space="preserve">python scripts/validate_data.py</w:t>
      </w:r>
      <w:r>
        <w:t xml:space="preserve">.</w:t>
      </w:r>
    </w:p>
    <w:p>
      <w:pPr>
        <w:pStyle w:val="Compact"/>
        <w:numPr>
          <w:ilvl w:val="0"/>
          <w:numId w:val="1015"/>
        </w:numPr>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87"/>
    <w:bookmarkStart w:id="88" w:name="visual-asset-checklist"/>
    <w:p>
      <w:pPr>
        <w:pStyle w:val="Heading2"/>
        <w:jc w:val="left"/>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Asset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Included in this guide</w:t>
            </w:r>
          </w:p>
        </w:tc>
      </w:tr>
      <w:tr>
        <w:tc>
          <w:tcPr>
            <w:vAlign w:val="center"/>
            <w:tcMar>
              <w:top w:w="120" w:type="dxa"/>
              <w:bottom w:w="120" w:type="dxa"/>
              <w:left w:w="150" w:type="dxa"/>
              <w:right w:w="150" w:type="dxa"/>
            </w:tcMar>
          </w:tcPr>
          <w:p>
            <w:pPr>
              <w:pStyle w:val="Compact"/>
              <w:spacing w:after="40"/>
            </w:pPr>
            <w:r>
              <w:rPr>
                <w:sz w:val="18"/>
              </w:rPr>
              <w:t xml:space="preserve">app layer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docs/assets/rebuild-guide/icon-row-app-layers.png</w:t>
            </w:r>
          </w:p>
        </w:tc>
      </w:tr>
      <w:tr>
        <w:tc>
          <w:tcPr>
            <w:vAlign w:val="center"/>
            <w:tcMar>
              <w:top w:w="120" w:type="dxa"/>
              <w:bottom w:w="120" w:type="dxa"/>
              <w:left w:w="150" w:type="dxa"/>
              <w:right w:w="150" w:type="dxa"/>
            </w:tcMar>
          </w:tcPr>
          <w:p>
            <w:pPr>
              <w:pStyle w:val="Compact"/>
              <w:spacing w:after="40"/>
            </w:pPr>
            <w:r>
              <w:rPr>
                <w:sz w:val="18"/>
              </w:rPr>
              <w:t xml:space="preserve">four-track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docs/assets/rebuild-guide/icon-row-tracks.png</w:t>
            </w:r>
          </w:p>
        </w:tc>
      </w:tr>
      <w:tr>
        <w:tc>
          <w:tcPr>
            <w:vAlign w:val="center"/>
            <w:tcMar>
              <w:top w:w="120" w:type="dxa"/>
              <w:bottom w:w="120" w:type="dxa"/>
              <w:left w:w="150" w:type="dxa"/>
              <w:right w:w="150" w:type="dxa"/>
            </w:tcMar>
          </w:tcPr>
          <w:p>
            <w:pPr>
              <w:pStyle w:val="Compact"/>
              <w:spacing w:after="40"/>
            </w:pPr>
            <w:r>
              <w:rPr>
                <w:sz w:val="18"/>
              </w:rPr>
              <w:t xml:space="preserve">local dashboard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docs/assets/rebuild-guide/local-dashboard.png</w:t>
            </w:r>
          </w:p>
        </w:tc>
      </w:tr>
      <w:tr>
        <w:tc>
          <w:tcPr>
            <w:vAlign w:val="center"/>
            <w:tcMar>
              <w:top w:w="120" w:type="dxa"/>
              <w:bottom w:w="120" w:type="dxa"/>
              <w:left w:w="150" w:type="dxa"/>
              <w:right w:w="150" w:type="dxa"/>
            </w:tcMar>
          </w:tcPr>
          <w:p>
            <w:pPr>
              <w:pStyle w:val="Compact"/>
              <w:spacing w:after="40"/>
            </w:pPr>
            <w:r>
              <w:rPr>
                <w:sz w:val="18"/>
              </w:rPr>
              <w:t xml:space="preserve">map layer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docs/assets/rebuild-guide/map-layers.png</w:t>
            </w:r>
          </w:p>
        </w:tc>
      </w:tr>
      <w:tr>
        <w:tc>
          <w:tcPr>
            <w:vAlign w:val="center"/>
            <w:tcMar>
              <w:top w:w="120" w:type="dxa"/>
              <w:bottom w:w="120" w:type="dxa"/>
              <w:left w:w="150" w:type="dxa"/>
              <w:right w:w="150" w:type="dxa"/>
            </w:tcMar>
          </w:tcPr>
          <w:p>
            <w:pPr>
              <w:pStyle w:val="Compact"/>
              <w:spacing w:after="40"/>
            </w:pPr>
            <w:r>
              <w:rPr>
                <w:sz w:val="18"/>
              </w:rPr>
              <w:t xml:space="preserve">district selector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docs/assets/rebuild-guide/district-selector.png</w:t>
            </w:r>
          </w:p>
        </w:tc>
      </w:tr>
      <w:tr>
        <w:tc>
          <w:tcPr>
            <w:vAlign w:val="center"/>
            <w:tcMar>
              <w:top w:w="120" w:type="dxa"/>
              <w:bottom w:w="120" w:type="dxa"/>
              <w:left w:w="150" w:type="dxa"/>
              <w:right w:w="150" w:type="dxa"/>
            </w:tcMar>
          </w:tcPr>
          <w:p>
            <w:pPr>
              <w:pStyle w:val="Compact"/>
              <w:spacing w:after="40"/>
            </w:pPr>
            <w:r>
              <w:rPr>
                <w:sz w:val="18"/>
              </w:rPr>
              <w:t xml:space="preserve">district score panel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docs/assets/rebuild-guide/district-score-panel.png</w:t>
            </w:r>
          </w:p>
        </w:tc>
      </w:tr>
      <w:tr>
        <w:tc>
          <w:tcPr>
            <w:vAlign w:val="center"/>
            <w:tcMar>
              <w:top w:w="120" w:type="dxa"/>
              <w:bottom w:w="120" w:type="dxa"/>
              <w:left w:w="150" w:type="dxa"/>
              <w:right w:w="150" w:type="dxa"/>
            </w:tcMar>
          </w:tcPr>
          <w:p>
            <w:pPr>
              <w:pStyle w:val="Compact"/>
              <w:spacing w:after="40"/>
            </w:pPr>
            <w:r>
              <w:rPr>
                <w:sz w:val="18"/>
              </w:rPr>
              <w:t xml:space="preserve">data-status endpoint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docs/assets/rebuild-guide/api-data-status.png</w:t>
            </w:r>
          </w:p>
        </w:tc>
      </w:tr>
      <w:tr>
        <w:tc>
          <w:tcPr>
            <w:vAlign w:val="center"/>
            <w:tcMar>
              <w:top w:w="120" w:type="dxa"/>
              <w:bottom w:w="120" w:type="dxa"/>
              <w:left w:w="150" w:type="dxa"/>
              <w:right w:w="150" w:type="dxa"/>
            </w:tcMar>
          </w:tcPr>
          <w:p>
            <w:pPr>
              <w:pStyle w:val="Compact"/>
              <w:spacing w:after="40"/>
            </w:pPr>
            <w:r>
              <w:rPr>
                <w:sz w:val="18"/>
              </w:rPr>
              <w:t xml:space="preserve">local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docs/assets/rebuild-guide/diagram-local-first.png</w:t>
            </w:r>
          </w:p>
        </w:tc>
      </w:tr>
      <w:tr>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docs/assets/rebuild-guide/diagram-azure-backed.png</w:t>
            </w:r>
          </w:p>
        </w:tc>
      </w:tr>
      <w:tr>
        <w:tc>
          <w:tcPr>
            <w:vAlign w:val="center"/>
            <w:tcMar>
              <w:top w:w="120" w:type="dxa"/>
              <w:bottom w:w="120" w:type="dxa"/>
              <w:left w:w="150" w:type="dxa"/>
              <w:right w:w="150" w:type="dxa"/>
            </w:tcMar>
          </w:tcPr>
          <w:p>
            <w:pPr>
              <w:pStyle w:val="Compact"/>
              <w:spacing w:after="40"/>
            </w:pPr>
            <w:r>
              <w:rPr>
                <w:sz w:val="18"/>
              </w:rPr>
              <w:t xml:space="preserve">fallback chain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docs/assets/rebuild-guide/diagram-data-fallback.png</w:t>
            </w:r>
          </w:p>
        </w:tc>
      </w:tr>
      <w:tr>
        <w:tc>
          <w:tcPr>
            <w:vAlign w:val="center"/>
            <w:tcMar>
              <w:top w:w="120" w:type="dxa"/>
              <w:bottom w:w="120" w:type="dxa"/>
              <w:left w:w="150" w:type="dxa"/>
              <w:right w:w="150" w:type="dxa"/>
            </w:tcMar>
          </w:tcPr>
          <w:p>
            <w:pPr>
              <w:pStyle w:val="Compact"/>
              <w:spacing w:after="40"/>
            </w:pPr>
            <w:r>
              <w:rPr>
                <w:sz w:val="18"/>
              </w:rPr>
              <w:t xml:space="preserve">score request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docs/assets/rebuild-guide/diagram-score-request.png</w:t>
            </w:r>
          </w:p>
        </w:tc>
      </w:tr>
    </w:tbl>
    <w:bookmarkEnd w:id="88"/>
    <w:bookmarkStart w:id="97" w:name="resource-index"/>
    <w:p>
      <w:pPr>
        <w:pStyle w:val="Heading2"/>
        <w:jc w:val="left"/>
      </w:pPr>
      <w:r>
        <w:t xml:space="preserve">Resource Index</w:t>
      </w:r>
    </w:p>
    <w:p>
      <w:pPr>
        <w:pStyle w:val="FirstParagraph"/>
      </w:pPr>
      <w:r>
        <w:t xml:space="preserve">Use this page as the resource hub instead of repeating links in the footer. Keep the cover page focused on the repo, local app, and deployed app URL; keep this appendix focused on build, deployment, and Azure references.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Need</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Open</w:t>
            </w:r>
          </w:p>
        </w:tc>
      </w:tr>
      <w:tr>
        <w:tc>
          <w:tcPr>
            <w:vAlign w:val="center"/>
            <w:tcMar>
              <w:top w:w="120" w:type="dxa"/>
              <w:bottom w:w="120" w:type="dxa"/>
              <w:left w:w="150" w:type="dxa"/>
              <w:right w:w="150" w:type="dxa"/>
            </w:tcMar>
          </w:tcPr>
          <w:p>
            <w:pPr>
              <w:pStyle w:val="Compact"/>
              <w:spacing w:after="40"/>
            </w:pPr>
            <w:r>
              <w:rPr>
                <w:sz w:val="18"/>
              </w:rPr>
              <w:t xml:space="preserve">GitHub repo</w:t>
            </w:r>
          </w:p>
        </w:tc>
        <w:tc>
          <w:tcPr>
            <w:vAlign w:val="center"/>
            <w:tcMar>
              <w:top w:w="120" w:type="dxa"/>
              <w:bottom w:w="120" w:type="dxa"/>
              <w:left w:w="150" w:type="dxa"/>
              <w:right w:w="150" w:type="dxa"/>
            </w:tcMar>
          </w:tcPr>
          <w:p>
            <w:pPr>
              <w:pStyle w:val="Compact"/>
              <w:spacing w:after="40"/>
            </w:pPr>
            <w:hyperlink r:id="rId89">
              <w:r>
                <w:rPr>
                  <w:rStyle w:val="Hyperlink"/>
                </w:rPr>
                <w:t xml:space="preserve">github.com/Esturban/microsoft-hackathon-riyadh-mobility</w:t>
              </w:r>
            </w:hyperlink>
          </w:p>
        </w:tc>
      </w:tr>
      <w:tr>
        <w:tc>
          <w:tcPr>
            <w:vAlign w:val="center"/>
            <w:tcMar>
              <w:top w:w="120" w:type="dxa"/>
              <w:bottom w:w="120" w:type="dxa"/>
              <w:left w:w="150" w:type="dxa"/>
              <w:right w:w="150" w:type="dxa"/>
            </w:tcMar>
          </w:tcPr>
          <w:p>
            <w:pPr>
              <w:pStyle w:val="Compact"/>
              <w:spacing w:after="40"/>
            </w:pPr>
            <w:r>
              <w:rPr>
                <w:sz w:val="18"/>
              </w:rPr>
              <w:t xml:space="preserve">Local dashboard</w:t>
            </w:r>
          </w:p>
        </w:tc>
        <w:tc>
          <w:tcPr>
            <w:vAlign w:val="center"/>
            <w:tcMar>
              <w:top w:w="120" w:type="dxa"/>
              <w:bottom w:w="120" w:type="dxa"/>
              <w:left w:w="150" w:type="dxa"/>
              <w:right w:w="150" w:type="dxa"/>
            </w:tcMar>
          </w:tcPr>
          <w:p>
            <w:pPr>
              <w:pStyle w:val="Compact"/>
              <w:spacing w:after="40"/>
            </w:pPr>
            <w:hyperlink r:id="rId90">
              <w:r>
                <w:rPr>
                  <w:rStyle w:val="Hyperlink"/>
                </w:rPr>
                <w:t xml:space="preserve">http://127.0.0.1:8000</w:t>
              </w:r>
            </w:hyperlink>
          </w:p>
        </w:tc>
      </w:tr>
      <w:tr>
        <w:tc>
          <w:tcPr>
            <w:vAlign w:val="center"/>
            <w:tcMar>
              <w:top w:w="120" w:type="dxa"/>
              <w:bottom w:w="120" w:type="dxa"/>
              <w:left w:w="150" w:type="dxa"/>
              <w:right w:w="150" w:type="dxa"/>
            </w:tcMar>
          </w:tcPr>
          <w:p>
            <w:pPr>
              <w:pStyle w:val="Compact"/>
              <w:spacing w:after="40"/>
            </w:pPr>
            <w:r>
              <w:rPr>
                <w:sz w:val="18"/>
              </w:rPr>
              <w:t xml:space="preserve">atomcamp Arabia</w:t>
            </w:r>
          </w:p>
        </w:tc>
        <w:tc>
          <w:tcPr>
            <w:vAlign w:val="center"/>
            <w:tcMar>
              <w:top w:w="120" w:type="dxa"/>
              <w:bottom w:w="120" w:type="dxa"/>
              <w:left w:w="150" w:type="dxa"/>
              <w:right w:w="150" w:type="dxa"/>
            </w:tcMar>
          </w:tcPr>
          <w:p>
            <w:pPr>
              <w:pStyle w:val="Compact"/>
              <w:spacing w:after="40"/>
            </w:pPr>
            <w:hyperlink r:id="rId91">
              <w:r>
                <w:rPr>
                  <w:rStyle w:val="Hyperlink"/>
                </w:rPr>
                <w:t xml:space="preserve">atomcamparabia.com</w:t>
              </w:r>
            </w:hyperlink>
          </w:p>
        </w:tc>
      </w:tr>
      <w:tr>
        <w:tc>
          <w:tcPr>
            <w:vAlign w:val="center"/>
            <w:tcMar>
              <w:top w:w="120" w:type="dxa"/>
              <w:bottom w:w="120" w:type="dxa"/>
              <w:left w:w="150" w:type="dxa"/>
              <w:right w:w="150" w:type="dxa"/>
            </w:tcMar>
          </w:tcPr>
          <w:p>
            <w:pPr>
              <w:pStyle w:val="Compact"/>
              <w:spacing w:after="40"/>
            </w:pPr>
            <w:r>
              <w:rPr>
                <w:sz w:val="18"/>
              </w:rPr>
              <w:t xml:space="preserve">Azure Developer CLI docs</w:t>
            </w:r>
          </w:p>
        </w:tc>
        <w:tc>
          <w:tcPr>
            <w:vAlign w:val="center"/>
            <w:tcMar>
              <w:top w:w="120" w:type="dxa"/>
              <w:bottom w:w="120" w:type="dxa"/>
              <w:left w:w="150" w:type="dxa"/>
              <w:right w:w="150" w:type="dxa"/>
            </w:tcMar>
          </w:tcPr>
          <w:p>
            <w:pPr>
              <w:pStyle w:val="Compact"/>
              <w:spacing w:after="40"/>
            </w:pPr>
            <w:hyperlink r:id="rId92">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rStyle w:val="VerbatimChar"/>
                <w:sz w:val="18"/>
              </w:rPr>
              <w:t xml:space="preserve">azd up</w:t>
            </w:r>
            <w:r>
              <w:rPr>
                <w:sz w:val="18"/>
              </w:rPr>
              <w:t xml:space="preserve"> </w:t>
            </w:r>
            <w:r>
              <w:rPr>
                <w:sz w:val="18"/>
              </w:rPr>
              <w:t xml:space="preserve">workflow</w:t>
            </w:r>
          </w:p>
        </w:tc>
        <w:tc>
          <w:tcPr>
            <w:vAlign w:val="center"/>
            <w:tcMar>
              <w:top w:w="120" w:type="dxa"/>
              <w:bottom w:w="120" w:type="dxa"/>
              <w:left w:w="150" w:type="dxa"/>
              <w:right w:w="150" w:type="dxa"/>
            </w:tcMar>
          </w:tcPr>
          <w:p>
            <w:pPr>
              <w:pStyle w:val="Compact"/>
              <w:spacing w:after="40"/>
            </w:pPr>
            <w:hyperlink r:id="rId93">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Container Apps docs</w:t>
            </w:r>
          </w:p>
        </w:tc>
        <w:tc>
          <w:tcPr>
            <w:vAlign w:val="center"/>
            <w:tcMar>
              <w:top w:w="120" w:type="dxa"/>
              <w:bottom w:w="120" w:type="dxa"/>
              <w:left w:w="150" w:type="dxa"/>
              <w:right w:w="150" w:type="dxa"/>
            </w:tcMar>
          </w:tcPr>
          <w:p>
            <w:pPr>
              <w:pStyle w:val="Compact"/>
              <w:spacing w:after="40"/>
            </w:pPr>
            <w:hyperlink r:id="rId94">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Maps docs</w:t>
            </w:r>
          </w:p>
        </w:tc>
        <w:tc>
          <w:tcPr>
            <w:vAlign w:val="center"/>
            <w:tcMar>
              <w:top w:w="120" w:type="dxa"/>
              <w:bottom w:w="120" w:type="dxa"/>
              <w:left w:w="150" w:type="dxa"/>
              <w:right w:w="150" w:type="dxa"/>
            </w:tcMar>
          </w:tcPr>
          <w:p>
            <w:pPr>
              <w:pStyle w:val="Compact"/>
              <w:spacing w:after="40"/>
            </w:pPr>
            <w:hyperlink r:id="rId95">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Cosmos DB docs</w:t>
            </w:r>
          </w:p>
        </w:tc>
        <w:tc>
          <w:tcPr>
            <w:vAlign w:val="center"/>
            <w:tcMar>
              <w:top w:w="120" w:type="dxa"/>
              <w:bottom w:w="120" w:type="dxa"/>
              <w:left w:w="150" w:type="dxa"/>
              <w:right w:w="150" w:type="dxa"/>
            </w:tcMar>
          </w:tcPr>
          <w:p>
            <w:pPr>
              <w:pStyle w:val="Compact"/>
              <w:spacing w:after="40"/>
            </w:pPr>
            <w:hyperlink r:id="rId96">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Student quickstart</w:t>
            </w:r>
          </w:p>
        </w:tc>
        <w:tc>
          <w:tcPr>
            <w:vAlign w:val="center"/>
            <w:tcMar>
              <w:top w:w="120" w:type="dxa"/>
              <w:bottom w:w="120" w:type="dxa"/>
              <w:left w:w="150" w:type="dxa"/>
              <w:right w:w="150" w:type="dxa"/>
            </w:tcMar>
          </w:tcPr>
          <w:p>
            <w:pPr>
              <w:pStyle w:val="Compact"/>
              <w:spacing w:after="40"/>
            </w:pPr>
            <w:r>
              <w:rPr>
                <w:rStyle w:val="VerbatimChar"/>
                <w:sz w:val="18"/>
              </w:rPr>
              <w:t xml:space="preserve">README.md</w:t>
            </w:r>
          </w:p>
        </w:tc>
      </w:tr>
      <w:tr>
        <w:tc>
          <w:tcPr>
            <w:vAlign w:val="center"/>
            <w:tcMar>
              <w:top w:w="120" w:type="dxa"/>
              <w:bottom w:w="120" w:type="dxa"/>
              <w:left w:w="150" w:type="dxa"/>
              <w:right w:w="150" w:type="dxa"/>
            </w:tcMar>
          </w:tcPr>
          <w:p>
            <w:pPr>
              <w:pStyle w:val="Compact"/>
              <w:spacing w:after="40"/>
            </w:pPr>
            <w:r>
              <w:rPr>
                <w:sz w:val="18"/>
              </w:rPr>
              <w:t xml:space="preserve">Architecture notes</w:t>
            </w:r>
          </w:p>
        </w:tc>
        <w:tc>
          <w:tcPr>
            <w:vAlign w:val="center"/>
            <w:tcMar>
              <w:top w:w="120" w:type="dxa"/>
              <w:bottom w:w="120" w:type="dxa"/>
              <w:left w:w="150" w:type="dxa"/>
              <w:right w:w="150" w:type="dxa"/>
            </w:tcMar>
          </w:tcPr>
          <w:p>
            <w:pPr>
              <w:pStyle w:val="Compact"/>
              <w:spacing w:after="40"/>
            </w:pPr>
            <w:r>
              <w:rPr>
                <w:rStyle w:val="VerbatimChar"/>
                <w:sz w:val="18"/>
              </w:rPr>
              <w:t xml:space="preserve">docs/architecture.md</w:t>
            </w:r>
          </w:p>
        </w:tc>
      </w:tr>
      <w:tr>
        <w:tc>
          <w:tcPr>
            <w:vAlign w:val="center"/>
            <w:tcMar>
              <w:top w:w="120" w:type="dxa"/>
              <w:bottom w:w="120" w:type="dxa"/>
              <w:left w:w="150" w:type="dxa"/>
              <w:right w:w="150" w:type="dxa"/>
            </w:tcMar>
          </w:tcPr>
          <w:p>
            <w:pPr>
              <w:pStyle w:val="Compact"/>
              <w:spacing w:after="40"/>
            </w:pPr>
            <w:r>
              <w:rPr>
                <w:sz w:val="18"/>
              </w:rPr>
              <w:t xml:space="preserve">Azure deployment notes</w:t>
            </w:r>
          </w:p>
        </w:tc>
        <w:tc>
          <w:tcPr>
            <w:vAlign w:val="center"/>
            <w:tcMar>
              <w:top w:w="120" w:type="dxa"/>
              <w:bottom w:w="120" w:type="dxa"/>
              <w:left w:w="150" w:type="dxa"/>
              <w:right w:w="150" w:type="dxa"/>
            </w:tcMar>
          </w:tcPr>
          <w:p>
            <w:pPr>
              <w:pStyle w:val="Compact"/>
              <w:spacing w:after="40"/>
            </w:pPr>
            <w:r>
              <w:rPr>
                <w:rStyle w:val="VerbatimChar"/>
                <w:sz w:val="18"/>
              </w:rPr>
              <w:t xml:space="preserve">docs/azure_deployment.md</w:t>
            </w:r>
          </w:p>
        </w:tc>
      </w:tr>
      <w:tr>
        <w:tc>
          <w:tcPr>
            <w:vAlign w:val="center"/>
            <w:tcMar>
              <w:top w:w="120" w:type="dxa"/>
              <w:bottom w:w="120" w:type="dxa"/>
              <w:left w:w="150" w:type="dxa"/>
              <w:right w:w="150" w:type="dxa"/>
            </w:tcMar>
          </w:tcPr>
          <w:p>
            <w:pPr>
              <w:pStyle w:val="Compact"/>
              <w:spacing w:after="40"/>
            </w:pPr>
            <w:r>
              <w:rPr>
                <w:sz w:val="18"/>
              </w:rPr>
              <w:t xml:space="preserve">Data source notes</w:t>
            </w:r>
          </w:p>
        </w:tc>
        <w:tc>
          <w:tcPr>
            <w:vAlign w:val="center"/>
            <w:tcMar>
              <w:top w:w="120" w:type="dxa"/>
              <w:bottom w:w="120" w:type="dxa"/>
              <w:left w:w="150" w:type="dxa"/>
              <w:right w:w="150" w:type="dxa"/>
            </w:tcMar>
          </w:tcPr>
          <w:p>
            <w:pPr>
              <w:pStyle w:val="Compact"/>
              <w:spacing w:after="40"/>
            </w:pPr>
            <w:r>
              <w:rPr>
                <w:rStyle w:val="VerbatimChar"/>
                <w:sz w:val="18"/>
              </w:rPr>
              <w:t xml:space="preserve">docs/data_sources.md</w:t>
            </w:r>
          </w:p>
        </w:tc>
      </w:tr>
      <w:tr>
        <w:tc>
          <w:tcPr>
            <w:vAlign w:val="center"/>
            <w:tcMar>
              <w:top w:w="120" w:type="dxa"/>
              <w:bottom w:w="120" w:type="dxa"/>
              <w:left w:w="150" w:type="dxa"/>
              <w:right w:w="150" w:type="dxa"/>
            </w:tcMar>
          </w:tcPr>
          <w:p>
            <w:pPr>
              <w:pStyle w:val="Compact"/>
              <w:spacing w:after="40"/>
            </w:pPr>
            <w:r>
              <w:rPr>
                <w:sz w:val="18"/>
              </w:rPr>
              <w:t xml:space="preserve">Troubleshooting</w:t>
            </w:r>
          </w:p>
        </w:tc>
        <w:tc>
          <w:tcPr>
            <w:vAlign w:val="center"/>
            <w:tcMar>
              <w:top w:w="120" w:type="dxa"/>
              <w:bottom w:w="120" w:type="dxa"/>
              <w:left w:w="150" w:type="dxa"/>
              <w:right w:w="150" w:type="dxa"/>
            </w:tcMar>
          </w:tcPr>
          <w:p>
            <w:pPr>
              <w:pStyle w:val="Compact"/>
              <w:spacing w:after="40"/>
            </w:pPr>
            <w:r>
              <w:rPr>
                <w:rStyle w:val="VerbatimChar"/>
                <w:sz w:val="18"/>
              </w:rPr>
              <w:t xml:space="preserve">docs/troubleshooting.md</w:t>
            </w:r>
          </w:p>
        </w:tc>
      </w:tr>
      <w:tr>
        <w:tc>
          <w:tcPr>
            <w:vAlign w:val="center"/>
            <w:tcMar>
              <w:top w:w="120" w:type="dxa"/>
              <w:bottom w:w="120" w:type="dxa"/>
              <w:left w:w="150" w:type="dxa"/>
              <w:right w:w="150" w:type="dxa"/>
            </w:tcMar>
          </w:tcPr>
          <w:p>
            <w:pPr>
              <w:pStyle w:val="Compact"/>
              <w:spacing w:after="40"/>
            </w:pPr>
            <w:r>
              <w:rPr>
                <w:sz w:val="18"/>
              </w:rPr>
              <w:t xml:space="preserve">Demo script</w:t>
            </w:r>
          </w:p>
        </w:tc>
        <w:tc>
          <w:tcPr>
            <w:vAlign w:val="center"/>
            <w:tcMar>
              <w:top w:w="120" w:type="dxa"/>
              <w:bottom w:w="120" w:type="dxa"/>
              <w:left w:w="150" w:type="dxa"/>
              <w:right w:w="150" w:type="dxa"/>
            </w:tcMar>
          </w:tcPr>
          <w:p>
            <w:pPr>
              <w:pStyle w:val="Compact"/>
              <w:spacing w:after="40"/>
            </w:pPr>
            <w:r>
              <w:rPr>
                <w:rStyle w:val="VerbatimChar"/>
                <w:sz w:val="18"/>
              </w:rPr>
              <w:t xml:space="preserve">docs/judging_demo_script.md</w:t>
            </w:r>
          </w:p>
        </w:tc>
      </w:tr>
    </w:tbl>
    <w:bookmarkEnd w:id="97"/>
    <w:bookmarkStart w:id="98" w:name="glossary"/>
    <w:p>
      <w:pPr>
        <w:pStyle w:val="Heading2"/>
        <w:jc w:val="left"/>
      </w:pPr>
      <w:r>
        <w:t xml:space="preserve">Glossary</w:t>
      </w:r>
    </w:p>
    <w:p>
      <w:pPr>
        <w:pStyle w:val="FirstParagraph"/>
      </w:pPr>
      <w:r>
        <w:rPr>
          <w:b/>
          <w:bCs/>
        </w:rPr>
        <w:t xml:space="preserve">Azure-backed live path</w:t>
      </w:r>
      <w:r>
        <w:br/>
      </w:r>
      <w:r>
        <w:t xml:space="preserve">The deployable path where the starter kit uses Azure services for maps, hosting, files, records, and monitoring.</w:t>
      </w:r>
    </w:p>
    <w:p>
      <w:pPr>
        <w:pStyle w:val="BodyText"/>
      </w:pPr>
      <w:r>
        <w:rPr>
          <w:b/>
          <w:bCs/>
        </w:rPr>
        <w:t xml:space="preserve">Blob Storage</w:t>
      </w:r>
      <w:r>
        <w:br/>
      </w:r>
      <w:r>
        <w:t xml:space="preserve">Azure file storage for raw and processed mobility datasets.</w:t>
      </w:r>
    </w:p>
    <w:p>
      <w:pPr>
        <w:pStyle w:val="BodyText"/>
      </w:pPr>
      <w:r>
        <w:rPr>
          <w:b/>
          <w:bCs/>
        </w:rPr>
        <w:t xml:space="preserve">Cosmos DB</w:t>
      </w:r>
      <w:r>
        <w:br/>
      </w:r>
      <w:r>
        <w:t xml:space="preserve">Azure document database for route summaries, district records, and event records.</w:t>
      </w:r>
    </w:p>
    <w:p>
      <w:pPr>
        <w:pStyle w:val="BodyText"/>
      </w:pPr>
      <w:r>
        <w:rPr>
          <w:b/>
          <w:bCs/>
        </w:rPr>
        <w:t xml:space="preserve">FastAPI</w:t>
      </w:r>
      <w:r>
        <w:br/>
      </w:r>
      <w:r>
        <w:t xml:space="preserve">Python web framework used to serve the API and static frontend.</w:t>
      </w:r>
    </w:p>
    <w:p>
      <w:pPr>
        <w:pStyle w:val="BodyText"/>
      </w:pPr>
      <w:r>
        <w:rPr>
          <w:b/>
          <w:bCs/>
        </w:rPr>
        <w:t xml:space="preserve">GeoJSON</w:t>
      </w:r>
      <w:r>
        <w:br/>
      </w:r>
      <w:r>
        <w:t xml:space="preserve">JSON format for map features such as points, lines, and polygons.</w:t>
      </w:r>
    </w:p>
    <w:p>
      <w:pPr>
        <w:pStyle w:val="BodyText"/>
      </w:pPr>
      <w:r>
        <w:rPr>
          <w:b/>
          <w:bCs/>
        </w:rPr>
        <w:t xml:space="preserve">Mobility Intelligence Starter Kit</w:t>
      </w:r>
      <w:r>
        <w:br/>
      </w:r>
      <w:r>
        <w:t xml:space="preserve">The reusable scaffold that teams can adapt into mobility, district, sustainability, or culture prototypes.</w:t>
      </w:r>
    </w:p>
    <w:p>
      <w:pPr>
        <w:pStyle w:val="BodyText"/>
      </w:pPr>
      <w:r>
        <w:rPr>
          <w:b/>
          <w:bCs/>
        </w:rPr>
        <w:t xml:space="preserve">Sample fallback</w:t>
      </w:r>
      <w:r>
        <w:br/>
      </w:r>
      <w:r>
        <w:t xml:space="preserve">The local files that keep the app useful even when cloud services or remote data are unavailable.</w:t>
      </w:r>
    </w:p>
    <w:p>
      <w:pPr>
        <w:pStyle w:val="BodyText"/>
      </w:pPr>
      <w:r>
        <w:rPr>
          <w:b/>
          <w:bCs/>
        </w:rPr>
        <w:t xml:space="preserve">Single-page application</w:t>
      </w:r>
      <w:r>
        <w:br/>
      </w:r>
      <w:r>
        <w:t xml:space="preserve">The current frontend shape: one main web page that loads data and updates panels dynamically.</w:t>
      </w:r>
    </w:p>
    <w:bookmarkEnd w:id="98"/>
    <w:bookmarkEnd w:id="99"/>
    <w:bookmarkStart w:id="100" w:name="closing-note"/>
    <w:p>
      <w:pPr>
        <w:pStyle w:val="Heading1"/>
        <w:jc w:val="left"/>
      </w:pPr>
      <w:r>
        <w:t xml:space="preserve">Closing Note</w:t>
      </w:r>
    </w:p>
    <w:p>
      <w:pPr>
        <w:pStyle w:val="FirstParagraph"/>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100"/>
    <w:sectPr>
      <w:footerReference w:type="first" r:id="rId10"/>
      <w:footerReference w:type="default" r:id="rId11"/>
      <w:footnotePr>
        <w:numRestart w:val="eachSect"/>
      </w:footnotePr>
      <w:pgMar w:top="691" w:bottom="893" w:left="792" w:right="79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66982"/>
        <w:sz w:val="17"/>
      </w:rPr>
      <w:t xml:space="preserve">Riyadh Mobility Intelligence Starter Kit | August Hackathon Working Document | Page </w:t>
    </w:r>
    <w:r>
      <w:rPr>
        <w:rFonts w:ascii="Aptos" w:hAnsi="Aptos"/>
        <w:color w:val="566982"/>
        <w:sz w:val="17"/>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9" w:lineRule="auto" w:after="120"/>
    </w:pPr>
    <w:rPr>
      <w:rFonts w:ascii="Aptos" w:hAnsi="Aptos"/>
      <w:b w:val="0"/>
      <w:color w:val="1F2937"/>
      <w:sz w:val="22"/>
    </w:rPr>
  </w:style>
  <w:style w:styleId="BodyText" w:type="paragraph">
    <w:name w:val="Body Text"/>
    <w:basedOn w:val="Normal"/>
    <w:link w:val="BodyTextChar"/>
    <w:qFormat/>
    <w:pPr>
      <w:spacing w:after="120" w:before="180" w:line="259" w:lineRule="auto"/>
    </w:pPr>
    <w:rPr>
      <w:rFonts w:ascii="Aptos" w:hAnsi="Aptos"/>
      <w:b w:val="0"/>
      <w:color w:val="1F2937"/>
      <w:sz w:val="22"/>
    </w:rPr>
  </w:style>
  <w:style w:customStyle="1" w:styleId="FirstParagraph" w:type="paragraph">
    <w:name w:val="First Paragraph"/>
    <w:basedOn w:val="BodyText"/>
    <w:next w:val="BodyText"/>
    <w:qFormat/>
    <w:pPr>
      <w:spacing w:line="259" w:lineRule="auto" w:after="120"/>
    </w:pPr>
    <w:rPr>
      <w:rFonts w:ascii="Aptos" w:hAnsi="Aptos"/>
      <w:b w:val="0"/>
      <w:color w:val="1F2937"/>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160"/>
      <w:outlineLvl w:val="0"/>
    </w:pPr>
    <w:rPr>
      <w:rFonts w:asciiTheme="majorHAnsi" w:cstheme="majorBidi" w:eastAsiaTheme="majorEastAsia" w:hAnsiTheme="majorHAnsi" w:ascii="Aptos Display" w:hAnsi="Aptos Display"/>
      <w:b/>
      <w:color w:val="092344"/>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40"/>
      <w:outlineLvl w:val="1"/>
    </w:pPr>
    <w:rPr>
      <w:rFonts w:asciiTheme="majorHAnsi" w:cstheme="majorBidi" w:eastAsiaTheme="majorEastAsia" w:hAnsiTheme="majorHAnsi" w:ascii="Aptos Display" w:hAnsi="Aptos Display"/>
      <w:b/>
      <w:color w:val="006091"/>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00"/>
      <w:outlineLvl w:val="2"/>
    </w:pPr>
    <w:rPr>
      <w:rFonts w:cstheme="majorBidi" w:eastAsiaTheme="majorEastAsia" w:ascii="Aptos" w:hAnsi="Aptos"/>
      <w:b/>
      <w:color w:val="111827"/>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b w:val="0"/>
      <w:color w:val="0F172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0F172A"/>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png"/><Relationship Id="rId33" Type="http://schemas.openxmlformats.org/officeDocument/2006/relationships/image" Target="media/rId33.png"/><Relationship Id="rId37" Type="http://schemas.openxmlformats.org/officeDocument/2006/relationships/image" Target="media/rId37.png"/><Relationship Id="rId29" Type="http://schemas.openxmlformats.org/officeDocument/2006/relationships/image" Target="media/rId29.png"/><Relationship Id="rId59" Type="http://schemas.openxmlformats.org/officeDocument/2006/relationships/image" Target="media/rId59.png"/><Relationship Id="rId67" Type="http://schemas.openxmlformats.org/officeDocument/2006/relationships/image" Target="media/rId67.png"/><Relationship Id="rId64" Type="http://schemas.openxmlformats.org/officeDocument/2006/relationships/image" Target="media/rId64.png"/><Relationship Id="rId18" Type="http://schemas.openxmlformats.org/officeDocument/2006/relationships/image" Target="media/rId18.png"/><Relationship Id="rId47" Type="http://schemas.openxmlformats.org/officeDocument/2006/relationships/image" Target="media/rId47.png"/><Relationship Id="rId51" Type="http://schemas.openxmlformats.org/officeDocument/2006/relationships/image" Target="media/rId51.png"/><Relationship Id="rId25" Type="http://schemas.openxmlformats.org/officeDocument/2006/relationships/image" Target="media/rId25.png"/><Relationship Id="rId70" Type="http://schemas.openxmlformats.org/officeDocument/2006/relationships/image" Target="media/rId70.png"/><Relationship Id="rId9" Type="http://schemas.openxmlformats.org/officeDocument/2006/relationships/image" Target="media/rId9.png"/><Relationship Id="rId15" Type="http://schemas.openxmlformats.org/officeDocument/2006/relationships/image" Target="media/rId15.png"/><Relationship Id="rId12" Type="http://schemas.openxmlformats.org/officeDocument/2006/relationships/image" Target="media/rId12.png"/><Relationship Id="rId42" Type="http://schemas.openxmlformats.org/officeDocument/2006/relationships/image" Target="media/rId42.png"/><Relationship Id="rId22" Type="http://schemas.openxmlformats.org/officeDocument/2006/relationships/image" Target="media/rId22.png"/><Relationship Id="rId75" Type="http://schemas.openxmlformats.org/officeDocument/2006/relationships/image" Target="media/rId75.png"/><Relationship Id="rId90" Type="http://schemas.openxmlformats.org/officeDocument/2006/relationships/hyperlink" Target="http://127.0.0.1:8000" TargetMode="External"/><Relationship Id="rId91" Type="http://schemas.openxmlformats.org/officeDocument/2006/relationships/hyperlink" Target="https://atomcamparabia.com/" TargetMode="External"/><Relationship Id="rId89" Type="http://schemas.openxmlformats.org/officeDocument/2006/relationships/hyperlink" Target="https://github.com/Esturban/microsoft-hackathon-riyadh-mobility" TargetMode="External"/><Relationship Id="rId95" Type="http://schemas.openxmlformats.org/officeDocument/2006/relationships/hyperlink" Target="https://learn.microsoft.com/en-us/azure/azure-maps/" TargetMode="External"/><Relationship Id="rId94" Type="http://schemas.openxmlformats.org/officeDocument/2006/relationships/hyperlink" Target="https://learn.microsoft.com/en-us/azure/container-apps/overview" TargetMode="External"/><Relationship Id="rId92" Type="http://schemas.openxmlformats.org/officeDocument/2006/relationships/hyperlink" Target="https://learn.microsoft.com/en-us/azure/developer/azure-developer-cli/" TargetMode="External"/><Relationship Id="rId93" Type="http://schemas.openxmlformats.org/officeDocument/2006/relationships/hyperlink" Target="https://learn.microsoft.com/en-us/azure/developer/azure-developer-cli/azd-up-workflow" TargetMode="External"/><Relationship Id="rId96" Type="http://schemas.openxmlformats.org/officeDocument/2006/relationships/hyperlink" Target="https://learn.microsoft.com/en-us/cosmos-db/"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90" Type="http://schemas.openxmlformats.org/officeDocument/2006/relationships/hyperlink" Target="http://127.0.0.1:8000" TargetMode="External"/><Relationship Id="rId91" Type="http://schemas.openxmlformats.org/officeDocument/2006/relationships/hyperlink" Target="https://atomcamparabia.com/" TargetMode="External"/><Relationship Id="rId89" Type="http://schemas.openxmlformats.org/officeDocument/2006/relationships/hyperlink" Target="https://github.com/Esturban/microsoft-hackathon-riyadh-mobility" TargetMode="External"/><Relationship Id="rId95" Type="http://schemas.openxmlformats.org/officeDocument/2006/relationships/hyperlink" Target="https://learn.microsoft.com/en-us/azure/azure-maps/" TargetMode="External"/><Relationship Id="rId94" Type="http://schemas.openxmlformats.org/officeDocument/2006/relationships/hyperlink" Target="https://learn.microsoft.com/en-us/azure/container-apps/overview" TargetMode="External"/><Relationship Id="rId92" Type="http://schemas.openxmlformats.org/officeDocument/2006/relationships/hyperlink" Target="https://learn.microsoft.com/en-us/azure/developer/azure-developer-cli/" TargetMode="External"/><Relationship Id="rId93" Type="http://schemas.openxmlformats.org/officeDocument/2006/relationships/hyperlink" Target="https://learn.microsoft.com/en-us/azure/developer/azure-developer-cli/azd-up-workflow" TargetMode="External"/><Relationship Id="rId96" Type="http://schemas.openxmlformats.org/officeDocument/2006/relationships/hyperlink" Target="https://learn.microsoft.com/en-us/cosmo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2026-06-03T19:51:37Z</dcterms:created>
  <dcterms:modified xsi:type="dcterms:W3CDTF">2026-06-03T19:51:37Z</dcterms:modified>
</cp:coreProperties>
</file>

<file path=docProps/custom.xml><?xml version="1.0" encoding="utf-8"?>
<Properties xmlns="http://schemas.openxmlformats.org/officeDocument/2006/custom-properties" xmlns:vt="http://schemas.openxmlformats.org/officeDocument/2006/docPropsVTypes"/>
</file>