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0" w:after="0"/>
        <w:jc w:val="center"/>
      </w:pPr>
      <w:r>
        <w:drawing>
          <wp:inline>
            <wp:extent cx="6748272" cy="8732520"/>
            <wp:effectExtent b="0" l="0" r="0" t="0"/>
            <wp:docPr descr="" title="" id="10" name="Picture"/>
            <a:graphic>
              <a:graphicData uri="http://schemas.openxmlformats.org/drawingml/2006/picture">
                <pic:pic>
                  <pic:nvPicPr>
                    <pic:cNvPr descr="docs/assets/rebuild-guide/premium-cover-page.png" id="11" name="Picture"/>
                    <pic:cNvPicPr>
                      <a:picLocks noChangeArrowheads="1" noChangeAspect="1"/>
                    </pic:cNvPicPr>
                  </pic:nvPicPr>
                  <pic:blipFill>
                    <a:blip r:embed="rId9"/>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3" name="Picture"/>
            <a:graphic>
              <a:graphicData uri="http://schemas.openxmlformats.org/drawingml/2006/picture">
                <pic:pic>
                  <pic:nvPicPr>
                    <pic:cNvPr descr="docs/assets/rebuild-guide/premium-how-to-page.png" id="14" name="Picture"/>
                    <pic:cNvPicPr>
                      <a:picLocks noChangeArrowheads="1" noChangeAspect="1"/>
                    </pic:cNvPicPr>
                  </pic:nvPicPr>
                  <pic:blipFill>
                    <a:blip r:embed="rId1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0" w:after="0"/>
        <w:jc w:val="center"/>
      </w:pPr>
      <w:r>
        <w:drawing>
          <wp:inline>
            <wp:extent cx="6748272" cy="8732520"/>
            <wp:effectExtent b="0" l="0" r="0" t="0"/>
            <wp:docPr descr="" title="" id="16" name="Picture"/>
            <a:graphic>
              <a:graphicData uri="http://schemas.openxmlformats.org/drawingml/2006/picture">
                <pic:pic>
                  <pic:nvPicPr>
                    <pic:cNvPr descr="docs/assets/rebuild-guide/premium-executive-build-brief.png" id="17" name="Picture"/>
                    <pic:cNvPicPr>
                      <a:picLocks noChangeArrowheads="1" noChangeAspect="1"/>
                    </pic:cNvPicPr>
                  </pic:nvPicPr>
                  <pic:blipFill>
                    <a:blip r:embed="rId15"/>
                    <a:stretch>
                      <a:fillRect/>
                    </a:stretch>
                  </pic:blipFill>
                  <pic:spPr bwMode="auto">
                    <a:xfrm>
                      <a:off x="0" y="0"/>
                      <a:ext cx="6748272" cy="8732520"/>
                    </a:xfrm>
                    <a:prstGeom prst="rect">
                      <a:avLst/>
                    </a:prstGeom>
                    <a:noFill/>
                    <a:ln w="9525">
                      <a:noFill/>
                      <a:headEnd/>
                      <a:tailEnd/>
                    </a:ln>
                  </pic:spPr>
                </pic:pic>
              </a:graphicData>
            </a:graphic>
          </wp:inline>
        </w:drawing>
      </w:r>
    </w:p>
    <w:bookmarkStart w:id="21" w:name="what-you-are-building"/>
    <w:p>
      <w:pPr>
        <w:pStyle w:val="Heading1"/>
        <w:spacing w:before="0" w:after="0"/>
        <w:jc w:val="left"/>
      </w:pPr>
      <w:r>
        <w:t xml:space="preserve">1. What You Are Building</w:t>
      </w:r>
    </w:p>
    <w:p>
      <w:pPr>
        <w:pStyle w:val="FirstParagraph"/>
        <w:spacing w:before="0" w:after="0"/>
      </w:pPr>
      <w:r>
        <w:t xml:space="preserve">The application is a</w:t>
      </w:r>
      <w:r>
        <w:t xml:space="preserve"> </w:t>
      </w:r>
      <w:r>
        <w:rPr>
          <w:b/>
          <w:bCs/>
        </w:rPr>
        <w:t xml:space="preserve">Mobility Intelligence Starter Kit</w:t>
      </w:r>
      <w:r>
        <w:t xml:space="preserve"> </w:t>
      </w:r>
      <w:r>
        <w:t xml:space="preserve">for Riyadh. It lets a builder open a map, view public transport layers, select a district, and receive a transparent mobility access score. The same scaffold can later support district intelligence, sustainability overlays, culture routes, or other urban challenge ideas.</w:t>
      </w:r>
    </w:p>
    <w:p>
      <w:pPr>
        <w:pStyle w:val="BodyText"/>
        <w:spacing w:before="0" w:after="0"/>
      </w:pPr>
      <w:r>
        <w:t xml:space="preserve">The starter kit includes:</w:t>
      </w:r>
    </w:p>
    <w:p>
      <w:pPr>
        <w:pStyle w:val="Compact"/>
        <w:numPr>
          <w:ilvl w:val="0"/>
          <w:numId w:val="1001"/>
        </w:numPr>
      </w:pPr>
      <w:r>
        <w:t xml:space="preserve">Riyadh metro lines and bus routes on a browser map.</w:t>
      </w:r>
    </w:p>
    <w:p>
      <w:pPr>
        <w:pStyle w:val="Compact"/>
        <w:numPr>
          <w:ilvl w:val="0"/>
          <w:numId w:val="1001"/>
        </w:numPr>
      </w:pPr>
      <w:r>
        <w:t xml:space="preserve">District selection and district-level mobility scoring.</w:t>
      </w:r>
    </w:p>
    <w:p>
      <w:pPr>
        <w:pStyle w:val="Compact"/>
        <w:numPr>
          <w:ilvl w:val="0"/>
          <w:numId w:val="1001"/>
        </w:numPr>
      </w:pPr>
      <w:r>
        <w:t xml:space="preserve">Mock live mobility events such as delay or congestion markers.</w:t>
      </w:r>
    </w:p>
    <w:p>
      <w:pPr>
        <w:pStyle w:val="Compact"/>
        <w:numPr>
          <w:ilvl w:val="0"/>
          <w:numId w:val="1001"/>
        </w:numPr>
      </w:pPr>
      <w:r>
        <w:t xml:space="preserve">Fallback-aware data loading that works without Azure credentials.</w:t>
      </w:r>
    </w:p>
    <w:p>
      <w:pPr>
        <w:pStyle w:val="Compact"/>
        <w:numPr>
          <w:ilvl w:val="0"/>
          <w:numId w:val="1001"/>
        </w:numPr>
      </w:pPr>
      <w:r>
        <w:t xml:space="preserve">Optional Azure-backed deployment using Azure Maps, Blob Storage, Cosmos DB, Container Apps, and Application Insights.</w:t>
      </w:r>
    </w:p>
    <w:p>
      <w:pPr>
        <w:pStyle w:val="Compact"/>
        <w:numPr>
          <w:ilvl w:val="0"/>
          <w:numId w:val="1001"/>
        </w:numPr>
      </w:pPr>
      <w:r>
        <w:t xml:space="preserve">A reusable pattern for teams that want to replace the data and scoring logic with another urban intelligence use case.</w:t>
      </w:r>
    </w:p>
    <w:p>
      <w:pPr>
        <w:pStyle w:val="FirstParagraph"/>
      </w:pPr>
      <w:r>
        <w:t xml:space="preserve">The product story is intentionally simple:</w:t>
      </w:r>
    </w:p>
    <w:p>
      <w:pPr>
        <w:pStyle w:val="BlockText"/>
      </w:pPr>
      <w:r>
        <w:t xml:space="preserve">If a user selects a Riyadh district, can the app show nearby mobility infrastructure, explain route coverage, and turn that into a clear starter score?</w:t>
      </w:r>
    </w:p>
    <w:p>
      <w:pPr>
        <w:pStyle w:val="FirstParagraph"/>
      </w:pPr>
      <w:r>
        <w:t xml:space="preserve">The current score is a teachable proxy:</w:t>
      </w:r>
    </w:p>
    <w:p>
      <w:pPr>
        <w:pStyle w:val="SourceCode"/>
      </w:pPr>
      <w:r>
        <w:rPr>
          <w:rStyle w:val="VerbatimChar"/>
        </w:rPr>
        <w:t xml:space="preserve">score = (nearby metro count x 3) + nearby bus count - live delay penalty</w:t>
      </w:r>
    </w:p>
    <w:p>
      <w:pPr>
        <w:pStyle w:val="FirstParagraph"/>
      </w:pPr>
      <w:r>
        <w:t xml:space="preserve">This formula is not the final planning answer. It is a clear starting point for showing how data, scoring, API design, map layers, and Azure services connect.</w:t>
      </w:r>
    </w:p>
    <w:p>
      <w:pPr>
        <w:pStyle w:val="CaptionedFigure"/>
        <w:spacing w:before="60" w:after="100"/>
        <w:jc w:val="center"/>
      </w:pPr>
      <w:r>
        <w:drawing>
          <wp:inline>
            <wp:extent cx="5334000" cy="4741333"/>
            <wp:effectExtent b="0" l="0" r="0" t="0"/>
            <wp:docPr descr="Local dashboard screenshot" title="" id="19" name="Picture"/>
            <a:graphic>
              <a:graphicData uri="http://schemas.openxmlformats.org/drawingml/2006/picture">
                <pic:pic>
                  <pic:nvPicPr>
                    <pic:cNvPr descr="docs/assets/rebuild-guide/local-dashboard-overview.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Local dashboard screenshot</w:t>
      </w:r>
    </w:p>
    <w:p>
      <w:pPr>
        <w:pStyle w:val="BodyText"/>
        <w:jc w:val="center"/>
      </w:pPr>
      <w:r>
        <w:rPr>
          <w:i/>
          <w:iCs/>
          <w:color w:val="566982"/>
          <w:sz w:val="18"/>
        </w:rPr>
        <w:t xml:space="preserve">Figure: local dashboard running from bundled sample data with metro lines, bus routes, district selector, score panel, and Azure service explainer visible.</w:t>
      </w:r>
    </w:p>
    <w:bookmarkEnd w:id="21"/>
    <w:bookmarkStart w:id="28" w:name="urban-challenge-track-mapping"/>
    <w:p>
      <w:pPr>
        <w:pStyle w:val="Heading1"/>
        <w:jc w:val="left"/>
      </w:pPr>
      <w:r>
        <w:t xml:space="preserve">2. Urban Challenge Track Mapping</w:t>
      </w:r>
    </w:p>
    <w:p>
      <w:pPr>
        <w:pStyle w:val="FirstParagraph"/>
      </w:pPr>
      <w:r>
        <w:t xml:space="preserve">The strongest primary fit is</w:t>
      </w:r>
      <w:r>
        <w:t xml:space="preserve"> </w:t>
      </w:r>
      <w:r>
        <w:rPr>
          <w:b/>
          <w:bCs/>
        </w:rPr>
        <w:t xml:space="preserve">Transformational Technology</w:t>
      </w:r>
      <w:r>
        <w:t xml:space="preserve"> </w:t>
      </w:r>
      <w:r>
        <w:t xml:space="preserve">because the current app already focuses on mobility visibility, route overlays, and cloud-backed intelligence. The strongest secondary fit is</w:t>
      </w:r>
      <w:r>
        <w:t xml:space="preserve"> </w:t>
      </w:r>
      <w:r>
        <w:rPr>
          <w:b/>
          <w:bCs/>
        </w:rPr>
        <w:t xml:space="preserve">Prosperous People</w:t>
      </w:r>
      <w:r>
        <w:t xml:space="preserve"> </w:t>
      </w:r>
      <w:r>
        <w:t xml:space="preserve">because the district scoring pattern can become a 15-minute city, walkability, or service-access score.</w:t>
      </w:r>
    </w:p>
    <w:p>
      <w:pPr>
        <w:pStyle w:val="BodyText"/>
      </w:pPr>
      <w:r>
        <w:t xml:space="preserve">Sustainable Solutions and Culture should be treated as extension routes after the core app works.</w:t>
      </w:r>
    </w:p>
    <w:p>
      <w:pPr>
        <w:pStyle w:val="BodyText"/>
      </w:pPr>
      <w:r>
        <w:t xml:space="preserve">Builder pitch:</w:t>
      </w:r>
    </w:p>
    <w:p>
      <w:pPr>
        <w:pStyle w:val="SourceCode"/>
      </w:pPr>
      <w:r>
        <w:rPr>
          <w:rStyle w:val="VerbatimChar"/>
        </w:rPr>
        <w:t xml:space="preserve">Build a Riyadh mobility intelligence prototype with public route data, district scoring, Azure Maps, and an Azure-backed live path. Use it directly for Transformational Technology, or extend the same scaffold into Prosperous People, Sustainable Solutions, or Culture use cases.</w:t>
      </w:r>
    </w:p>
    <w:p>
      <w:pPr>
        <w:pStyle w:val="FirstParagraph"/>
        <w:spacing w:before="60" w:after="100"/>
        <w:jc w:val="center"/>
      </w:pPr>
      <w:r>
        <w:drawing>
          <wp:inline>
            <wp:extent cx="6748272" cy="8732520"/>
            <wp:effectExtent b="0" l="0" r="0" t="0"/>
            <wp:docPr descr="" title="" id="23" name="Picture"/>
            <a:graphic>
              <a:graphicData uri="http://schemas.openxmlformats.org/drawingml/2006/picture">
                <pic:pic>
                  <pic:nvPicPr>
                    <pic:cNvPr descr="docs/assets/rebuild-guide/premium-services-tools-matrix.png" id="24" name="Picture"/>
                    <pic:cNvPicPr>
                      <a:picLocks noChangeArrowheads="1" noChangeAspect="1"/>
                    </pic:cNvPicPr>
                  </pic:nvPicPr>
                  <pic:blipFill>
                    <a:blip r:embed="rId22"/>
                    <a:stretch>
                      <a:fillRect/>
                    </a:stretch>
                  </pic:blipFill>
                  <pic:spPr bwMode="auto">
                    <a:xfrm>
                      <a:off x="0" y="0"/>
                      <a:ext cx="6748272" cy="8732520"/>
                    </a:xfrm>
                    <a:prstGeom prst="rect">
                      <a:avLst/>
                    </a:prstGeom>
                    <a:noFill/>
                    <a:ln w="9525">
                      <a:noFill/>
                      <a:headEnd/>
                      <a:tailEnd/>
                    </a:ln>
                  </pic:spPr>
                </pic:pic>
              </a:graphicData>
            </a:graphic>
          </wp:inline>
        </w:drawing>
      </w:r>
    </w:p>
    <w:p>
      <w:pPr>
        <w:pStyle w:val="BodyText"/>
        <w:spacing w:before="60" w:after="100"/>
        <w:jc w:val="center"/>
      </w:pPr>
      <w:r>
        <w:drawing>
          <wp:inline>
            <wp:extent cx="6748272" cy="8732520"/>
            <wp:effectExtent b="0" l="0" r="0" t="0"/>
            <wp:docPr descr="" title="" id="26" name="Picture"/>
            <a:graphic>
              <a:graphicData uri="http://schemas.openxmlformats.org/drawingml/2006/picture">
                <pic:pic>
                  <pic:nvPicPr>
                    <pic:cNvPr descr="docs/assets/rebuild-guide/premium-architecture-blueprint.png" id="27" name="Picture"/>
                    <pic:cNvPicPr>
                      <a:picLocks noChangeArrowheads="1" noChangeAspect="1"/>
                    </pic:cNvPicPr>
                  </pic:nvPicPr>
                  <pic:blipFill>
                    <a:blip r:embed="rId25"/>
                    <a:stretch>
                      <a:fillRect/>
                    </a:stretch>
                  </pic:blipFill>
                  <pic:spPr bwMode="auto">
                    <a:xfrm>
                      <a:off x="0" y="0"/>
                      <a:ext cx="6748272" cy="8732520"/>
                    </a:xfrm>
                    <a:prstGeom prst="rect">
                      <a:avLst/>
                    </a:prstGeom>
                    <a:noFill/>
                    <a:ln w="9525">
                      <a:noFill/>
                      <a:headEnd/>
                      <a:tailEnd/>
                    </a:ln>
                  </pic:spPr>
                </pic:pic>
              </a:graphicData>
            </a:graphic>
          </wp:inline>
        </w:drawing>
      </w:r>
    </w:p>
    <w:bookmarkEnd w:id="28"/>
    <w:bookmarkStart w:id="41" w:name="architecture-and-build-path"/>
    <w:p>
      <w:pPr>
        <w:pStyle w:val="Heading1"/>
        <w:jc w:val="left"/>
      </w:pPr>
      <w:r>
        <w:t xml:space="preserve">3. Architecture and Build Path</w:t>
      </w:r>
    </w:p>
    <w:p>
      <w:pPr>
        <w:pStyle w:val="FirstParagraph"/>
      </w:pPr>
      <w:r>
        <w:t xml:space="preserve">The app is designed to work locally first, then graduate into an Azure-backed live path. The core principle is simple:</w:t>
      </w:r>
      <w:r>
        <w:t xml:space="preserve"> </w:t>
      </w:r>
      <w:r>
        <w:rPr>
          <w:b/>
          <w:bCs/>
        </w:rPr>
        <w:t xml:space="preserve">the app must remain useful even when Azure credentials, remote services, or live data are unavailable.</w:t>
      </w:r>
    </w:p>
    <w:bookmarkStart w:id="32" w:name="local-first-workflow"/>
    <w:p>
      <w:pPr>
        <w:pStyle w:val="Heading2"/>
        <w:jc w:val="left"/>
      </w:pPr>
      <w:r>
        <w:t xml:space="preserve">Local-First Workflow</w:t>
      </w:r>
    </w:p>
    <w:p>
      <w:pPr>
        <w:pStyle w:val="FirstParagraph"/>
      </w:pPr>
      <w:r>
        <w:t xml:space="preserve">Local mode is the first build milestone. It should work on a builder laptop with no Azure account configured.</w:t>
      </w:r>
    </w:p>
    <w:p>
      <w:pPr>
        <w:pStyle w:val="CaptionedFigure"/>
        <w:spacing w:before="60" w:after="100"/>
        <w:jc w:val="center"/>
      </w:pPr>
      <w:r>
        <w:drawing>
          <wp:inline>
            <wp:extent cx="5334000" cy="1540933"/>
            <wp:effectExtent b="0" l="0" r="0" t="0"/>
            <wp:docPr descr="Local-first workflow" title="" id="30" name="Picture"/>
            <a:graphic>
              <a:graphicData uri="http://schemas.openxmlformats.org/drawingml/2006/picture">
                <pic:pic>
                  <pic:nvPicPr>
                    <pic:cNvPr descr="docs/assets/rebuild-guide/diagram-local-first.png" id="31" name="Picture"/>
                    <pic:cNvPicPr>
                      <a:picLocks noChangeArrowheads="1" noChangeAspect="1"/>
                    </pic:cNvPicPr>
                  </pic:nvPicPr>
                  <pic:blipFill>
                    <a:blip r:embed="rId29"/>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Local-first workflow</w:t>
      </w:r>
    </w:p>
    <w:p>
      <w:pPr>
        <w:pStyle w:val="BodyText"/>
      </w:pPr>
      <w:r>
        <w:t xml:space="preserve">Local mode uses the same UI and API shape that the cloud deployment uses. The difference is the data source: bundled sample files replace cloud-backed records.</w:t>
      </w:r>
    </w:p>
    <w:bookmarkEnd w:id="32"/>
    <w:bookmarkStart w:id="36" w:name="azure-backed-workflow"/>
    <w:p>
      <w:pPr>
        <w:pStyle w:val="Heading2"/>
        <w:jc w:val="left"/>
      </w:pPr>
      <w:r>
        <w:t xml:space="preserve">Azure-Backed Workflow</w:t>
      </w:r>
    </w:p>
    <w:p>
      <w:pPr>
        <w:pStyle w:val="FirstParagraph"/>
      </w:pPr>
      <w:r>
        <w:t xml:space="preserve">When deployed, the same containerized app runs in Azure Container Apps and can connect to Azure services for maps, storage, records, and monitoring.</w:t>
      </w:r>
    </w:p>
    <w:p>
      <w:pPr>
        <w:pStyle w:val="CaptionedFigure"/>
        <w:spacing w:before="60" w:after="100"/>
        <w:jc w:val="center"/>
      </w:pPr>
      <w:r>
        <w:drawing>
          <wp:inline>
            <wp:extent cx="5334000" cy="1540933"/>
            <wp:effectExtent b="0" l="0" r="0" t="0"/>
            <wp:docPr descr="Azure-backed workflow" title="" id="34" name="Picture"/>
            <a:graphic>
              <a:graphicData uri="http://schemas.openxmlformats.org/drawingml/2006/picture">
                <pic:pic>
                  <pic:nvPicPr>
                    <pic:cNvPr descr="docs/assets/rebuild-guide/diagram-azure-backed.png" id="35" name="Picture"/>
                    <pic:cNvPicPr>
                      <a:picLocks noChangeArrowheads="1" noChangeAspect="1"/>
                    </pic:cNvPicPr>
                  </pic:nvPicPr>
                  <pic:blipFill>
                    <a:blip r:embed="rId33"/>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Azure-backed workflow</w:t>
      </w:r>
    </w:p>
    <w:p>
      <w:pPr>
        <w:pStyle w:val="BodyText"/>
      </w:pPr>
      <w:r>
        <w:t xml:space="preserve">Use this path when the team is ready to show a credible cloud deployment or run post-deploy smoke tests.</w:t>
      </w:r>
    </w:p>
    <w:bookmarkEnd w:id="36"/>
    <w:bookmarkStart w:id="40" w:name="data-fallback-chain"/>
    <w:p>
      <w:pPr>
        <w:pStyle w:val="Heading2"/>
        <w:jc w:val="left"/>
      </w:pPr>
      <w:r>
        <w:t xml:space="preserve">Data Fallback Chain</w:t>
      </w:r>
    </w:p>
    <w:p>
      <w:pPr>
        <w:pStyle w:val="FirstParagraph"/>
      </w:pPr>
      <w:r>
        <w:t xml:space="preserve">The app should not fail just because cloud data is missing. Data access is intentionally fallback-aware.</w:t>
      </w:r>
    </w:p>
    <w:p>
      <w:pPr>
        <w:pStyle w:val="CaptionedFigure"/>
        <w:spacing w:before="60" w:after="100"/>
        <w:jc w:val="center"/>
      </w:pPr>
      <w:r>
        <w:drawing>
          <wp:inline>
            <wp:extent cx="5334000" cy="1540933"/>
            <wp:effectExtent b="0" l="0" r="0" t="0"/>
            <wp:docPr descr="Data fallback chain" title="" id="38" name="Picture"/>
            <a:graphic>
              <a:graphicData uri="http://schemas.openxmlformats.org/drawingml/2006/picture">
                <pic:pic>
                  <pic:nvPicPr>
                    <pic:cNvPr descr="docs/assets/rebuild-guide/diagram-data-fallback.png" id="39" name="Picture"/>
                    <pic:cNvPicPr>
                      <a:picLocks noChangeArrowheads="1" noChangeAspect="1"/>
                    </pic:cNvPicPr>
                  </pic:nvPicPr>
                  <pic:blipFill>
                    <a:blip r:embed="rId37"/>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Data fallback chain</w:t>
      </w:r>
    </w:p>
    <w:p>
      <w:pPr>
        <w:pStyle w:val="BodyText"/>
      </w:pPr>
      <w:r>
        <w:t xml:space="preserve">In practice, builders should start with</w:t>
      </w:r>
      <w:r>
        <w:t xml:space="preserve"> </w:t>
      </w:r>
      <w:r>
        <w:rPr>
          <w:rStyle w:val="VerbatimChar"/>
        </w:rPr>
        <w:t xml:space="preserve">DATA_MODE=sample</w:t>
      </w:r>
      <w:r>
        <w:t xml:space="preserve">, then move to Blob or Cosmos only after the local app is working.</w:t>
      </w:r>
    </w:p>
    <w:bookmarkEnd w:id="40"/>
    <w:bookmarkEnd w:id="41"/>
    <w:bookmarkStart w:id="46" w:name="project-structure"/>
    <w:p>
      <w:pPr>
        <w:pStyle w:val="Heading1"/>
        <w:jc w:val="left"/>
      </w:pPr>
      <w:r>
        <w:t xml:space="preserve">4. Project Structure</w:t>
      </w:r>
    </w:p>
    <w:p>
      <w:pPr>
        <w:pStyle w:val="FirstParagraph"/>
      </w:pPr>
      <w:r>
        <w:t xml:space="preserve">Start with the app shell, API, frontend, sample data, deployment files, and tests.</w:t>
      </w:r>
    </w:p>
    <w:p>
      <w:pPr>
        <w:pStyle w:val="SourceCode"/>
      </w:pPr>
      <w:r>
        <w:rPr>
          <w:rStyle w:val="VerbatimChar"/>
        </w:rPr>
        <w:t xml:space="preserve">riyadh-mobility-intelligence-dashboard/</w:t>
      </w:r>
      <w:r>
        <w:br/>
      </w:r>
      <w:r>
        <w:rPr>
          <w:rStyle w:val="VerbatimChar"/>
        </w:rPr>
        <w:t xml:space="preserve">├── app/</w:t>
      </w:r>
      <w:r>
        <w:br/>
      </w:r>
      <w:r>
        <w:rPr>
          <w:rStyle w:val="VerbatimChar"/>
        </w:rPr>
        <w:t xml:space="preserve">│   ├── main.py                  # FastAPI app shell and static serving</w:t>
      </w:r>
      <w:r>
        <w:br/>
      </w:r>
      <w:r>
        <w:rPr>
          <w:rStyle w:val="VerbatimChar"/>
        </w:rPr>
        <w:t xml:space="preserve">│   ├── routes.py                # API endpoints</w:t>
      </w:r>
      <w:r>
        <w:br/>
      </w:r>
      <w:r>
        <w:rPr>
          <w:rStyle w:val="VerbatimChar"/>
        </w:rPr>
        <w:t xml:space="preserve">│   ├── data_access.py           # sample, Blob, Cosmos data loading</w:t>
      </w:r>
      <w:r>
        <w:br/>
      </w:r>
      <w:r>
        <w:rPr>
          <w:rStyle w:val="VerbatimChar"/>
        </w:rPr>
        <w:t xml:space="preserve">│   ├── scoring.py               # district mobility score</w:t>
      </w:r>
      <w:r>
        <w:br/>
      </w:r>
      <w:r>
        <w:rPr>
          <w:rStyle w:val="VerbatimChar"/>
        </w:rPr>
        <w:t xml:space="preserve">│   ├── azure_clients.py         # Azure SDK client setup</w:t>
      </w:r>
      <w:r>
        <w:br/>
      </w:r>
      <w:r>
        <w:rPr>
          <w:rStyle w:val="VerbatimChar"/>
        </w:rPr>
        <w:t xml:space="preserve">│   ├── config.py                # environment variables and defaults</w:t>
      </w:r>
      <w:r>
        <w:br/>
      </w:r>
      <w:r>
        <w:rPr>
          <w:rStyle w:val="VerbatimChar"/>
        </w:rPr>
        <w:t xml:space="preserve">│   └── static/</w:t>
      </w:r>
      <w:r>
        <w:br/>
      </w:r>
      <w:r>
        <w:rPr>
          <w:rStyle w:val="VerbatimChar"/>
        </w:rPr>
        <w:t xml:space="preserve">│       ├── index.html           # single-page dashboard shell</w:t>
      </w:r>
      <w:r>
        <w:br/>
      </w:r>
      <w:r>
        <w:rPr>
          <w:rStyle w:val="VerbatimChar"/>
        </w:rPr>
        <w:t xml:space="preserve">│       ├── src/                 # frontend JavaScript and CSS</w:t>
      </w:r>
      <w:r>
        <w:br/>
      </w:r>
      <w:r>
        <w:rPr>
          <w:rStyle w:val="VerbatimChar"/>
        </w:rPr>
        <w:t xml:space="preserve">│       └── sample-data/         # always-on sample files</w:t>
      </w:r>
      <w:r>
        <w:br/>
      </w:r>
      <w:r>
        <w:rPr>
          <w:rStyle w:val="VerbatimChar"/>
        </w:rPr>
        <w:t xml:space="preserve">├── scripts/                     # fetch, normalize, upload, seed, validate</w:t>
      </w:r>
      <w:r>
        <w:br/>
      </w:r>
      <w:r>
        <w:rPr>
          <w:rStyle w:val="VerbatimChar"/>
        </w:rPr>
        <w:t xml:space="preserve">├── infra/                       # Bicep infrastructure modules</w:t>
      </w:r>
      <w:r>
        <w:br/>
      </w:r>
      <w:r>
        <w:rPr>
          <w:rStyle w:val="VerbatimChar"/>
        </w:rPr>
        <w:t xml:space="preserve">├── docs/                        # build guide and supporting notes</w:t>
      </w:r>
      <w:r>
        <w:br/>
      </w:r>
      <w:r>
        <w:rPr>
          <w:rStyle w:val="VerbatimChar"/>
        </w:rPr>
        <w:t xml:space="preserve">├── tests/                       # scoring, API, and data-shape checks</w:t>
      </w:r>
      <w:r>
        <w:br/>
      </w:r>
      <w:r>
        <w:rPr>
          <w:rStyle w:val="VerbatimChar"/>
        </w:rPr>
        <w:t xml:space="preserve">├── azure.yaml                   # Azure Developer CLI project</w:t>
      </w:r>
      <w:r>
        <w:br/>
      </w:r>
      <w:r>
        <w:rPr>
          <w:rStyle w:val="VerbatimChar"/>
        </w:rPr>
        <w:t xml:space="preserve">├── Dockerfile                   # container definition</w:t>
      </w:r>
      <w:r>
        <w:br/>
      </w:r>
      <w:r>
        <w:rPr>
          <w:rStyle w:val="VerbatimChar"/>
        </w:rPr>
        <w:t xml:space="preserve">└── requirements.txt             # Python dependencies</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Area</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Start here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Backend entrypoints</w:t>
            </w:r>
          </w:p>
        </w:tc>
        <w:tc>
          <w:tcPr>
            <w:vAlign w:val="center"/>
            <w:tcMar>
              <w:top w:w="120" w:type="dxa"/>
              <w:bottom w:w="120" w:type="dxa"/>
              <w:left w:w="150" w:type="dxa"/>
              <w:right w:w="150" w:type="dxa"/>
            </w:tcMar>
          </w:tcPr>
          <w:p>
            <w:pPr>
              <w:pStyle w:val="Compact"/>
              <w:spacing w:after="40"/>
            </w:pPr>
            <w:r>
              <w:rPr>
                <w:rStyle w:val="VerbatimChar"/>
                <w:sz w:val="18"/>
              </w:rPr>
              <w:t xml:space="preserve">app/main.py</w:t>
            </w:r>
            <w:r>
              <w:rPr>
                <w:sz w:val="18"/>
              </w:rPr>
              <w:t xml:space="preserve">,</w:t>
            </w:r>
            <w:r>
              <w:rPr>
                <w:sz w:val="18"/>
              </w:rPr>
              <w:t xml:space="preserve"> </w:t>
            </w:r>
            <w:r>
              <w:rPr>
                <w:rStyle w:val="VerbatimChar"/>
                <w:sz w:val="18"/>
              </w:rPr>
              <w:t xml:space="preserve">app/routes.py</w:t>
            </w:r>
          </w:p>
        </w:tc>
        <w:tc>
          <w:tcPr>
            <w:vAlign w:val="center"/>
            <w:tcMar>
              <w:top w:w="120" w:type="dxa"/>
              <w:bottom w:w="120" w:type="dxa"/>
              <w:left w:w="150" w:type="dxa"/>
              <w:right w:w="150" w:type="dxa"/>
            </w:tcMar>
          </w:tcPr>
          <w:p>
            <w:pPr>
              <w:pStyle w:val="Compact"/>
              <w:spacing w:after="40"/>
            </w:pPr>
            <w:r>
              <w:rPr>
                <w:sz w:val="18"/>
              </w:rPr>
              <w:t xml:space="preserve">FastAPI app shell, static serving, API contract</w:t>
            </w:r>
          </w:p>
        </w:tc>
      </w:tr>
      <w:tr>
        <w:tc>
          <w:tcPr>
            <w:vAlign w:val="center"/>
            <w:tcMar>
              <w:top w:w="120" w:type="dxa"/>
              <w:bottom w:w="120" w:type="dxa"/>
              <w:left w:w="150" w:type="dxa"/>
              <w:right w:w="150" w:type="dxa"/>
            </w:tcMar>
          </w:tcPr>
          <w:p>
            <w:pPr>
              <w:pStyle w:val="Compact"/>
              <w:spacing w:after="40"/>
            </w:pPr>
            <w:r>
              <w:rPr>
                <w:sz w:val="18"/>
              </w:rPr>
              <w:t xml:space="preserve">Data loading</w:t>
            </w:r>
          </w:p>
        </w:tc>
        <w:tc>
          <w:tcPr>
            <w:vAlign w:val="center"/>
            <w:tcMar>
              <w:top w:w="120" w:type="dxa"/>
              <w:bottom w:w="120" w:type="dxa"/>
              <w:left w:w="150" w:type="dxa"/>
              <w:right w:w="150" w:type="dxa"/>
            </w:tcMar>
          </w:tcPr>
          <w:p>
            <w:pPr>
              <w:pStyle w:val="Compact"/>
              <w:spacing w:after="40"/>
            </w:pPr>
            <w:r>
              <w:rPr>
                <w:rStyle w:val="VerbatimChar"/>
                <w:sz w:val="18"/>
              </w:rPr>
              <w:t xml:space="preserve">app/data_access.py</w:t>
            </w:r>
            <w:r>
              <w:rPr>
                <w:sz w:val="18"/>
              </w:rPr>
              <w:t xml:space="preserve">,</w:t>
            </w:r>
            <w:r>
              <w:rPr>
                <w:sz w:val="18"/>
              </w:rPr>
              <w:t xml:space="preserve"> </w:t>
            </w:r>
            <w:r>
              <w:rPr>
                <w:rStyle w:val="VerbatimChar"/>
                <w:sz w:val="18"/>
              </w:rPr>
              <w:t xml:space="preserve">app/static/sample-data/</w:t>
            </w:r>
          </w:p>
        </w:tc>
        <w:tc>
          <w:tcPr>
            <w:vAlign w:val="center"/>
            <w:tcMar>
              <w:top w:w="120" w:type="dxa"/>
              <w:bottom w:w="120" w:type="dxa"/>
              <w:left w:w="150" w:type="dxa"/>
              <w:right w:w="150" w:type="dxa"/>
            </w:tcMar>
          </w:tcPr>
          <w:p>
            <w:pPr>
              <w:pStyle w:val="Compact"/>
              <w:spacing w:after="40"/>
            </w:pPr>
            <w:r>
              <w:rPr>
                <w:sz w:val="18"/>
              </w:rPr>
              <w:t xml:space="preserve">sample, Blob, and Cosmos fallback behavior</w:t>
            </w:r>
          </w:p>
        </w:tc>
      </w:tr>
      <w:tr>
        <w:tc>
          <w:tcPr>
            <w:vAlign w:val="center"/>
            <w:tcMar>
              <w:top w:w="120" w:type="dxa"/>
              <w:bottom w:w="120" w:type="dxa"/>
              <w:left w:w="150" w:type="dxa"/>
              <w:right w:w="150" w:type="dxa"/>
            </w:tcMar>
          </w:tcPr>
          <w:p>
            <w:pPr>
              <w:pStyle w:val="Compact"/>
              <w:spacing w:after="40"/>
            </w:pPr>
            <w:r>
              <w:rPr>
                <w:sz w:val="18"/>
              </w:rPr>
              <w:t xml:space="preserve">Score formula</w:t>
            </w:r>
          </w:p>
        </w:tc>
        <w:tc>
          <w:tcPr>
            <w:vAlign w:val="center"/>
            <w:tcMar>
              <w:top w:w="120" w:type="dxa"/>
              <w:bottom w:w="120" w:type="dxa"/>
              <w:left w:w="150" w:type="dxa"/>
              <w:right w:w="150" w:type="dxa"/>
            </w:tcMar>
          </w:tcPr>
          <w:p>
            <w:pPr>
              <w:pStyle w:val="Compact"/>
              <w:spacing w:after="40"/>
            </w:pPr>
            <w:r>
              <w:rPr>
                <w:rStyle w:val="VerbatimChar"/>
                <w:sz w:val="18"/>
              </w:rPr>
              <w:t xml:space="preserve">app/scoring.py</w:t>
            </w:r>
          </w:p>
        </w:tc>
        <w:tc>
          <w:tcPr>
            <w:vAlign w:val="center"/>
            <w:tcMar>
              <w:top w:w="120" w:type="dxa"/>
              <w:bottom w:w="120" w:type="dxa"/>
              <w:left w:w="150" w:type="dxa"/>
              <w:right w:w="150" w:type="dxa"/>
            </w:tcMar>
          </w:tcPr>
          <w:p>
            <w:pPr>
              <w:pStyle w:val="Compact"/>
              <w:spacing w:after="40"/>
            </w:pPr>
            <w:r>
              <w:rPr>
                <w:sz w:val="18"/>
              </w:rPr>
              <w:t xml:space="preserve">transparent scoring logic that teams can adapt</w:t>
            </w:r>
          </w:p>
        </w:tc>
      </w:tr>
      <w:tr>
        <w:tc>
          <w:tcPr>
            <w:vAlign w:val="center"/>
            <w:tcMar>
              <w:top w:w="120" w:type="dxa"/>
              <w:bottom w:w="120" w:type="dxa"/>
              <w:left w:w="150" w:type="dxa"/>
              <w:right w:w="150" w:type="dxa"/>
            </w:tcMar>
          </w:tcPr>
          <w:p>
            <w:pPr>
              <w:pStyle w:val="Compact"/>
              <w:spacing w:after="40"/>
            </w:pPr>
            <w:r>
              <w:rPr>
                <w:sz w:val="18"/>
              </w:rPr>
              <w:t xml:space="preserve">Frontend</w:t>
            </w:r>
          </w:p>
        </w:tc>
        <w:tc>
          <w:tcPr>
            <w:vAlign w:val="center"/>
            <w:tcMar>
              <w:top w:w="120" w:type="dxa"/>
              <w:bottom w:w="120" w:type="dxa"/>
              <w:left w:w="150" w:type="dxa"/>
              <w:right w:w="150" w:type="dxa"/>
            </w:tcMar>
          </w:tcPr>
          <w:p>
            <w:pPr>
              <w:pStyle w:val="Compact"/>
              <w:spacing w:after="40"/>
            </w:pPr>
            <w:r>
              <w:rPr>
                <w:rStyle w:val="VerbatimChar"/>
                <w:sz w:val="18"/>
              </w:rPr>
              <w:t xml:space="preserve">app/static/index.html</w:t>
            </w:r>
            <w:r>
              <w:rPr>
                <w:sz w:val="18"/>
              </w:rPr>
              <w:t xml:space="preserve">,</w:t>
            </w:r>
            <w:r>
              <w:rPr>
                <w:sz w:val="18"/>
              </w:rPr>
              <w:t xml:space="preserve"> </w:t>
            </w:r>
            <w:r>
              <w:rPr>
                <w:rStyle w:val="VerbatimChar"/>
                <w:sz w:val="18"/>
              </w:rPr>
              <w:t xml:space="preserve">app/static/src/main.js</w:t>
            </w:r>
          </w:p>
        </w:tc>
        <w:tc>
          <w:tcPr>
            <w:vAlign w:val="center"/>
            <w:tcMar>
              <w:top w:w="120" w:type="dxa"/>
              <w:bottom w:w="120" w:type="dxa"/>
              <w:left w:w="150" w:type="dxa"/>
              <w:right w:w="150" w:type="dxa"/>
            </w:tcMar>
          </w:tcPr>
          <w:p>
            <w:pPr>
              <w:pStyle w:val="Compact"/>
              <w:spacing w:after="40"/>
            </w:pPr>
            <w:r>
              <w:rPr>
                <w:sz w:val="18"/>
              </w:rPr>
              <w:t xml:space="preserve">page shell, boot sequence, API orchestration</w:t>
            </w:r>
          </w:p>
        </w:tc>
      </w:tr>
      <w:tr>
        <w:tc>
          <w:tcPr>
            <w:vAlign w:val="center"/>
            <w:tcMar>
              <w:top w:w="120" w:type="dxa"/>
              <w:bottom w:w="120" w:type="dxa"/>
              <w:left w:w="150" w:type="dxa"/>
              <w:right w:w="150" w:type="dxa"/>
            </w:tcMar>
          </w:tcPr>
          <w:p>
            <w:pPr>
              <w:pStyle w:val="Compact"/>
              <w:spacing w:after="40"/>
            </w:pPr>
            <w:r>
              <w:rPr>
                <w:sz w:val="18"/>
              </w:rPr>
              <w:t xml:space="preserve">Map behavior</w:t>
            </w:r>
          </w:p>
        </w:tc>
        <w:tc>
          <w:tcPr>
            <w:vAlign w:val="center"/>
            <w:tcMar>
              <w:top w:w="120" w:type="dxa"/>
              <w:bottom w:w="120" w:type="dxa"/>
              <w:left w:w="150" w:type="dxa"/>
              <w:right w:w="150" w:type="dxa"/>
            </w:tcMar>
          </w:tcPr>
          <w:p>
            <w:pPr>
              <w:pStyle w:val="Compact"/>
              <w:spacing w:after="40"/>
            </w:pPr>
            <w:r>
              <w:rPr>
                <w:rStyle w:val="VerbatimChar"/>
                <w:sz w:val="18"/>
              </w:rPr>
              <w:t xml:space="preserve">app/static/src/map.js</w:t>
            </w:r>
            <w:r>
              <w:rPr>
                <w:sz w:val="18"/>
              </w:rPr>
              <w:t xml:space="preserve">,</w:t>
            </w:r>
            <w:r>
              <w:rPr>
                <w:sz w:val="18"/>
              </w:rPr>
              <w:t xml:space="preserve"> </w:t>
            </w:r>
            <w:r>
              <w:rPr>
                <w:rStyle w:val="VerbatimChar"/>
                <w:sz w:val="18"/>
              </w:rPr>
              <w:t xml:space="preserve">app/static/src/layers.js</w:t>
            </w:r>
          </w:p>
        </w:tc>
        <w:tc>
          <w:tcPr>
            <w:vAlign w:val="center"/>
            <w:tcMar>
              <w:top w:w="120" w:type="dxa"/>
              <w:bottom w:w="120" w:type="dxa"/>
              <w:left w:w="150" w:type="dxa"/>
              <w:right w:w="150" w:type="dxa"/>
            </w:tcMar>
          </w:tcPr>
          <w:p>
            <w:pPr>
              <w:pStyle w:val="Compact"/>
              <w:spacing w:after="40"/>
            </w:pPr>
            <w:r>
              <w:rPr>
                <w:sz w:val="18"/>
              </w:rPr>
              <w:t xml:space="preserve">Azure Maps path, local fallback, overlays</w:t>
            </w:r>
          </w:p>
        </w:tc>
      </w:tr>
      <w:tr>
        <w:tc>
          <w:tcPr>
            <w:vAlign w:val="center"/>
            <w:tcMar>
              <w:top w:w="120" w:type="dxa"/>
              <w:bottom w:w="120" w:type="dxa"/>
              <w:left w:w="150" w:type="dxa"/>
              <w:right w:w="150" w:type="dxa"/>
            </w:tcMar>
          </w:tcPr>
          <w:p>
            <w:pPr>
              <w:pStyle w:val="Compact"/>
              <w:spacing w:after="40"/>
            </w:pPr>
            <w:r>
              <w:rPr>
                <w:sz w:val="18"/>
              </w:rPr>
              <w:t xml:space="preserve">Deployment</w:t>
            </w:r>
          </w:p>
        </w:tc>
        <w:tc>
          <w:tcPr>
            <w:vAlign w:val="center"/>
            <w:tcMar>
              <w:top w:w="120" w:type="dxa"/>
              <w:bottom w:w="120" w:type="dxa"/>
              <w:left w:w="150" w:type="dxa"/>
              <w:right w:w="150" w:type="dxa"/>
            </w:tcMar>
          </w:tcPr>
          <w:p>
            <w:pPr>
              <w:pStyle w:val="Compact"/>
              <w:spacing w:after="40"/>
            </w:pPr>
            <w:r>
              <w:rPr>
                <w:rStyle w:val="VerbatimChar"/>
                <w:sz w:val="18"/>
              </w:rPr>
              <w:t xml:space="preserve">azure.yaml</w:t>
            </w:r>
            <w:r>
              <w:rPr>
                <w:sz w:val="18"/>
              </w:rPr>
              <w:t xml:space="preserve">,</w:t>
            </w:r>
            <w:r>
              <w:rPr>
                <w:sz w:val="18"/>
              </w:rPr>
              <w:t xml:space="preserve"> </w:t>
            </w:r>
            <w:r>
              <w:rPr>
                <w:rStyle w:val="VerbatimChar"/>
                <w:sz w:val="18"/>
              </w:rPr>
              <w:t xml:space="preserve">infra/main.bicep</w:t>
            </w:r>
            <w:r>
              <w:rPr>
                <w:sz w:val="18"/>
              </w:rPr>
              <w:t xml:space="preserve">,</w:t>
            </w:r>
            <w:r>
              <w:rPr>
                <w:sz w:val="18"/>
              </w:rPr>
              <w:t xml:space="preserve"> </w:t>
            </w:r>
            <w:r>
              <w:rPr>
                <w:rStyle w:val="VerbatimChar"/>
                <w:sz w:val="18"/>
              </w:rPr>
              <w:t xml:space="preserve">scripts/deploy_azure.sh</w:t>
            </w:r>
          </w:p>
        </w:tc>
        <w:tc>
          <w:tcPr>
            <w:vAlign w:val="center"/>
            <w:tcMar>
              <w:top w:w="120" w:type="dxa"/>
              <w:bottom w:w="120" w:type="dxa"/>
              <w:left w:w="150" w:type="dxa"/>
              <w:right w:w="150" w:type="dxa"/>
            </w:tcMar>
          </w:tcPr>
          <w:p>
            <w:pPr>
              <w:pStyle w:val="Compact"/>
              <w:spacing w:after="40"/>
            </w:pPr>
            <w:r>
              <w:rPr>
                <w:sz w:val="18"/>
              </w:rPr>
              <w:t xml:space="preserve">cloud-live path</w:t>
            </w:r>
          </w:p>
        </w:tc>
      </w:tr>
      <w:tr>
        <w:tc>
          <w:tcPr>
            <w:vAlign w:val="center"/>
            <w:tcMar>
              <w:top w:w="120" w:type="dxa"/>
              <w:bottom w:w="120" w:type="dxa"/>
              <w:left w:w="150" w:type="dxa"/>
              <w:right w:w="150" w:type="dxa"/>
            </w:tcMar>
          </w:tcPr>
          <w:p>
            <w:pPr>
              <w:pStyle w:val="Compact"/>
              <w:spacing w:after="40"/>
            </w:pPr>
            <w:r>
              <w:rPr>
                <w:sz w:val="18"/>
              </w:rPr>
              <w:t xml:space="preserve">Tests</w:t>
            </w:r>
          </w:p>
        </w:tc>
        <w:tc>
          <w:tcPr>
            <w:vAlign w:val="center"/>
            <w:tcMar>
              <w:top w:w="120" w:type="dxa"/>
              <w:bottom w:w="120" w:type="dxa"/>
              <w:left w:w="150" w:type="dxa"/>
              <w:right w:w="150" w:type="dxa"/>
            </w:tcMar>
          </w:tcPr>
          <w:p>
            <w:pPr>
              <w:pStyle w:val="Compact"/>
              <w:spacing w:after="40"/>
            </w:pPr>
            <w:r>
              <w:rPr>
                <w:rStyle w:val="VerbatimChar"/>
                <w:sz w:val="18"/>
              </w:rPr>
              <w:t xml:space="preserve">tests/</w:t>
            </w:r>
          </w:p>
        </w:tc>
        <w:tc>
          <w:tcPr>
            <w:vAlign w:val="center"/>
            <w:tcMar>
              <w:top w:w="120" w:type="dxa"/>
              <w:bottom w:w="120" w:type="dxa"/>
              <w:left w:w="150" w:type="dxa"/>
              <w:right w:w="150" w:type="dxa"/>
            </w:tcMar>
          </w:tcPr>
          <w:p>
            <w:pPr>
              <w:pStyle w:val="Compact"/>
              <w:spacing w:after="40"/>
            </w:pPr>
            <w:r>
              <w:rPr>
                <w:sz w:val="18"/>
              </w:rPr>
              <w:t xml:space="preserve">API, data-shape, health, and scoring checks</w:t>
            </w:r>
          </w:p>
        </w:tc>
      </w:tr>
    </w:tbl>
    <w:bookmarkStart w:id="45" w:name="where-the-data-comes-from"/>
    <w:p>
      <w:pPr>
        <w:pStyle w:val="Heading2"/>
        <w:jc w:val="left"/>
      </w:pPr>
      <w:r>
        <w:t xml:space="preserve">Where the Data Comes From</w:t>
      </w:r>
    </w:p>
    <w:p>
      <w:pPr>
        <w:pStyle w:val="FirstParagraph"/>
      </w:pPr>
      <w:r>
        <w:t xml:space="preserve">The bundled sample data is derived from Riyadh Commission for Riyadh City open geospatial datasets. The files live under</w:t>
      </w:r>
      <w:r>
        <w:t xml:space="preserve"> </w:t>
      </w:r>
      <w:r>
        <w:rPr>
          <w:rStyle w:val="VerbatimChar"/>
        </w:rPr>
        <w:t xml:space="preserve">app/static/sample-data/</w:t>
      </w:r>
      <w:r>
        <w:t xml:space="preserve"> </w:t>
      </w:r>
      <w:r>
        <w:t xml:space="preserve">and keep the app useful even when no cloud services are configured.</w:t>
      </w:r>
    </w:p>
    <w:tbl>
      <w:tblPr>
        <w:tblStyle w:val="Table"/>
        <w:tblW w:type="pct" w:w="5000"/>
        <w:jc w:val="center"/>
        <w:tblLayout w:type="fixed"/>
        <w:tblLook w:firstRow="1" w:lastRow="0" w:firstColumn="0" w:lastColumn="0" w:noHBand="0" w:noVBand="0" w:val="0020"/>
      </w:tblPr>
      <w:tblGrid>
        <w:gridCol w:w="2376"/>
        <w:gridCol w:w="2376"/>
        <w:gridCol w:w="3168"/>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File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Contents</w:t>
            </w:r>
          </w:p>
        </w:tc>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Records</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riyadh_metro_lines_sample.geojson</w:t>
            </w:r>
          </w:p>
        </w:tc>
        <w:tc>
          <w:tcPr>
            <w:vAlign w:val="center"/>
            <w:tcMar>
              <w:top w:w="120" w:type="dxa"/>
              <w:bottom w:w="120" w:type="dxa"/>
              <w:left w:w="150" w:type="dxa"/>
              <w:right w:w="150" w:type="dxa"/>
            </w:tcMar>
          </w:tcPr>
          <w:p>
            <w:pPr>
              <w:pStyle w:val="Compact"/>
              <w:spacing w:after="40"/>
            </w:pPr>
            <w:r>
              <w:rPr>
                <w:sz w:val="18"/>
              </w:rPr>
              <w:t xml:space="preserve">Metro line features with names, colors, and geometry</w:t>
            </w:r>
          </w:p>
        </w:tc>
        <w:tc>
          <w:tcPr>
            <w:vAlign w:val="center"/>
            <w:tcMar>
              <w:top w:w="120" w:type="dxa"/>
              <w:bottom w:w="120" w:type="dxa"/>
              <w:left w:w="150" w:type="dxa"/>
              <w:right w:w="150" w:type="dxa"/>
            </w:tcMar>
          </w:tcPr>
          <w:p>
            <w:pPr>
              <w:pStyle w:val="Compact"/>
              <w:spacing w:after="40"/>
              <w:jc w:val="right"/>
            </w:pPr>
            <w:r>
              <w:rPr>
                <w:sz w:val="18"/>
              </w:rPr>
              <w:t xml:space="preserve">6</w:t>
            </w:r>
          </w:p>
        </w:tc>
      </w:tr>
      <w:tr>
        <w:tc>
          <w:tcPr>
            <w:vAlign w:val="center"/>
            <w:tcMar>
              <w:top w:w="120" w:type="dxa"/>
              <w:bottom w:w="120" w:type="dxa"/>
              <w:left w:w="150" w:type="dxa"/>
              <w:right w:w="150" w:type="dxa"/>
            </w:tcMar>
          </w:tcPr>
          <w:p>
            <w:pPr>
              <w:pStyle w:val="Compact"/>
              <w:spacing w:after="40"/>
            </w:pPr>
            <w:r>
              <w:rPr>
                <w:rStyle w:val="VerbatimChar"/>
                <w:sz w:val="18"/>
              </w:rPr>
              <w:t xml:space="preserve">riyadh_bus_routes_sample.geojson</w:t>
            </w:r>
          </w:p>
        </w:tc>
        <w:tc>
          <w:tcPr>
            <w:vAlign w:val="center"/>
            <w:tcMar>
              <w:top w:w="120" w:type="dxa"/>
              <w:bottom w:w="120" w:type="dxa"/>
              <w:left w:w="150" w:type="dxa"/>
              <w:right w:w="150" w:type="dxa"/>
            </w:tcMar>
          </w:tcPr>
          <w:p>
            <w:pPr>
              <w:pStyle w:val="Compact"/>
              <w:spacing w:after="40"/>
            </w:pPr>
            <w:r>
              <w:rPr>
                <w:sz w:val="18"/>
              </w:rPr>
              <w:t xml:space="preserve">Bus route features with route IDs and geometry</w:t>
            </w:r>
          </w:p>
        </w:tc>
        <w:tc>
          <w:tcPr>
            <w:vAlign w:val="center"/>
            <w:tcMar>
              <w:top w:w="120" w:type="dxa"/>
              <w:bottom w:w="120" w:type="dxa"/>
              <w:left w:w="150" w:type="dxa"/>
              <w:right w:w="150" w:type="dxa"/>
            </w:tcMar>
          </w:tcPr>
          <w:p>
            <w:pPr>
              <w:pStyle w:val="Compact"/>
              <w:spacing w:after="40"/>
              <w:jc w:val="right"/>
            </w:pPr>
            <w:r>
              <w:rPr>
                <w:sz w:val="18"/>
              </w:rPr>
              <w:t xml:space="preserve">100</w:t>
            </w:r>
          </w:p>
        </w:tc>
      </w:tr>
      <w:tr>
        <w:tc>
          <w:tcPr>
            <w:vAlign w:val="center"/>
            <w:tcMar>
              <w:top w:w="120" w:type="dxa"/>
              <w:bottom w:w="120" w:type="dxa"/>
              <w:left w:w="150" w:type="dxa"/>
              <w:right w:w="150" w:type="dxa"/>
            </w:tcMar>
          </w:tcPr>
          <w:p>
            <w:pPr>
              <w:pStyle w:val="Compact"/>
              <w:spacing w:after="40"/>
            </w:pPr>
            <w:r>
              <w:rPr>
                <w:rStyle w:val="VerbatimChar"/>
                <w:sz w:val="18"/>
              </w:rPr>
              <w:t xml:space="preserve">district_centers_sample.geojson</w:t>
            </w:r>
          </w:p>
        </w:tc>
        <w:tc>
          <w:tcPr>
            <w:vAlign w:val="center"/>
            <w:tcMar>
              <w:top w:w="120" w:type="dxa"/>
              <w:bottom w:w="120" w:type="dxa"/>
              <w:left w:w="150" w:type="dxa"/>
              <w:right w:w="150" w:type="dxa"/>
            </w:tcMar>
          </w:tcPr>
          <w:p>
            <w:pPr>
              <w:pStyle w:val="Compact"/>
              <w:spacing w:after="40"/>
            </w:pPr>
            <w:r>
              <w:rPr>
                <w:sz w:val="18"/>
              </w:rPr>
              <w:t xml:space="preserve">Riyadh district center points with English and Arabic names</w:t>
            </w:r>
          </w:p>
        </w:tc>
        <w:tc>
          <w:tcPr>
            <w:vAlign w:val="center"/>
            <w:tcMar>
              <w:top w:w="120" w:type="dxa"/>
              <w:bottom w:w="120" w:type="dxa"/>
              <w:left w:w="150" w:type="dxa"/>
              <w:right w:w="150" w:type="dxa"/>
            </w:tcMar>
          </w:tcPr>
          <w:p>
            <w:pPr>
              <w:pStyle w:val="Compact"/>
              <w:spacing w:after="40"/>
              <w:jc w:val="right"/>
            </w:pPr>
            <w:r>
              <w:rPr>
                <w:sz w:val="18"/>
              </w:rPr>
              <w:t xml:space="preserve">10</w:t>
            </w:r>
          </w:p>
        </w:tc>
      </w:tr>
      <w:tr>
        <w:tc>
          <w:tcPr>
            <w:vAlign w:val="center"/>
            <w:tcMar>
              <w:top w:w="120" w:type="dxa"/>
              <w:bottom w:w="120" w:type="dxa"/>
              <w:left w:w="150" w:type="dxa"/>
              <w:right w:w="150" w:type="dxa"/>
            </w:tcMar>
          </w:tcPr>
          <w:p>
            <w:pPr>
              <w:pStyle w:val="Compact"/>
              <w:spacing w:after="40"/>
            </w:pPr>
            <w:r>
              <w:rPr>
                <w:rStyle w:val="VerbatimChar"/>
                <w:sz w:val="18"/>
              </w:rPr>
              <w:t xml:space="preserve">mock_live_events_sample.json</w:t>
            </w:r>
          </w:p>
        </w:tc>
        <w:tc>
          <w:tcPr>
            <w:vAlign w:val="center"/>
            <w:tcMar>
              <w:top w:w="120" w:type="dxa"/>
              <w:bottom w:w="120" w:type="dxa"/>
              <w:left w:w="150" w:type="dxa"/>
              <w:right w:w="150" w:type="dxa"/>
            </w:tcMar>
          </w:tcPr>
          <w:p>
            <w:pPr>
              <w:pStyle w:val="Compact"/>
              <w:spacing w:after="40"/>
            </w:pPr>
            <w:r>
              <w:rPr>
                <w:sz w:val="18"/>
              </w:rPr>
              <w:t xml:space="preserve">Sample delay or incident markers</w:t>
            </w:r>
          </w:p>
        </w:tc>
        <w:tc>
          <w:tcPr>
            <w:vAlign w:val="center"/>
            <w:tcMar>
              <w:top w:w="120" w:type="dxa"/>
              <w:bottom w:w="120" w:type="dxa"/>
              <w:left w:w="150" w:type="dxa"/>
              <w:right w:w="150" w:type="dxa"/>
            </w:tcMar>
          </w:tcPr>
          <w:p>
            <w:pPr>
              <w:pStyle w:val="Compact"/>
              <w:spacing w:after="40"/>
              <w:jc w:val="right"/>
            </w:pPr>
            <w:r>
              <w:rPr>
                <w:sz w:val="18"/>
              </w:rPr>
              <w:t xml:space="preserve">variable</w:t>
            </w:r>
          </w:p>
        </w:tc>
      </w:tr>
    </w:tbl>
    <w:p>
      <w:pPr>
        <w:pStyle w:val="BodyText"/>
      </w:pPr>
      <w:r>
        <w:t xml:space="preserve">Fresh data workflow:</w:t>
      </w:r>
    </w:p>
    <w:p>
      <w:pPr>
        <w:pStyle w:val="SourceCode"/>
      </w:pPr>
      <w:r>
        <w:rPr>
          <w:rStyle w:val="ExtensionTok"/>
        </w:rPr>
        <w:t xml:space="preserve">python3</w:t>
      </w:r>
      <w:r>
        <w:rPr>
          <w:rStyle w:val="NormalTok"/>
        </w:rPr>
        <w:t xml:space="preserve"> scripts/fetch_rcrc_data.py</w:t>
      </w:r>
      <w:r>
        <w:br/>
      </w:r>
      <w:r>
        <w:rPr>
          <w:rStyle w:val="ExtensionTok"/>
        </w:rPr>
        <w:t xml:space="preserve">python3</w:t>
      </w:r>
      <w:r>
        <w:rPr>
          <w:rStyle w:val="NormalTok"/>
        </w:rPr>
        <w:t xml:space="preserve"> scripts/normalize_to_geojson.py</w:t>
      </w:r>
      <w:r>
        <w:br/>
      </w:r>
      <w:r>
        <w:rPr>
          <w:rStyle w:val="ExtensionTok"/>
        </w:rPr>
        <w:t xml:space="preserve">python3</w:t>
      </w:r>
      <w:r>
        <w:rPr>
          <w:rStyle w:val="NormalTok"/>
        </w:rPr>
        <w:t xml:space="preserve"> scripts/validate_data.py</w:t>
      </w:r>
      <w:r>
        <w:br/>
      </w:r>
      <w:r>
        <w:rPr>
          <w:rStyle w:val="ExtensionTok"/>
        </w:rPr>
        <w:t xml:space="preserve">python3</w:t>
      </w:r>
      <w:r>
        <w:rPr>
          <w:rStyle w:val="NormalTok"/>
        </w:rPr>
        <w:t xml:space="preserve"> scripts/upload_to_blob.py              </w:t>
      </w:r>
      <w:r>
        <w:rPr>
          <w:rStyle w:val="CommentTok"/>
        </w:rPr>
        <w:t xml:space="preserve"># optional cloud step</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    </w:t>
      </w:r>
      <w:r>
        <w:rPr>
          <w:rStyle w:val="CommentTok"/>
        </w:rPr>
        <w:t xml:space="preserve"># optional cloud step</w:t>
      </w:r>
    </w:p>
    <w:p>
      <w:pPr>
        <w:pStyle w:val="FirstParagraph"/>
        <w:spacing w:before="60" w:after="100"/>
        <w:jc w:val="center"/>
      </w:pPr>
      <w:r>
        <w:drawing>
          <wp:inline>
            <wp:extent cx="6748272" cy="8732520"/>
            <wp:effectExtent b="0" l="0" r="0" t="0"/>
            <wp:docPr descr="" title="" id="43" name="Picture"/>
            <a:graphic>
              <a:graphicData uri="http://schemas.openxmlformats.org/drawingml/2006/picture">
                <pic:pic>
                  <pic:nvPicPr>
                    <pic:cNvPr descr="docs/assets/rebuild-guide/premium-local-run-playbook.png" id="44" name="Picture"/>
                    <pic:cNvPicPr>
                      <a:picLocks noChangeArrowheads="1" noChangeAspect="1"/>
                    </pic:cNvPicPr>
                  </pic:nvPicPr>
                  <pic:blipFill>
                    <a:blip r:embed="rId42"/>
                    <a:stretch>
                      <a:fillRect/>
                    </a:stretch>
                  </pic:blipFill>
                  <pic:spPr bwMode="auto">
                    <a:xfrm>
                      <a:off x="0" y="0"/>
                      <a:ext cx="6748272" cy="8732520"/>
                    </a:xfrm>
                    <a:prstGeom prst="rect">
                      <a:avLst/>
                    </a:prstGeom>
                    <a:noFill/>
                    <a:ln w="9525">
                      <a:noFill/>
                      <a:headEnd/>
                      <a:tailEnd/>
                    </a:ln>
                  </pic:spPr>
                </pic:pic>
              </a:graphicData>
            </a:graphic>
          </wp:inline>
        </w:drawing>
      </w:r>
    </w:p>
    <w:bookmarkEnd w:id="45"/>
    <w:bookmarkEnd w:id="46"/>
    <w:bookmarkStart w:id="52" w:name="run-locally"/>
    <w:p>
      <w:pPr>
        <w:pStyle w:val="Heading1"/>
        <w:jc w:val="left"/>
      </w:pPr>
      <w:r>
        <w:t xml:space="preserve">5. Run Locally</w:t>
      </w:r>
    </w:p>
    <w:p>
      <w:pPr>
        <w:pStyle w:val="FirstParagraph"/>
      </w:pPr>
      <w:r>
        <w:t xml:space="preserve">Local setup is deliberately direct. The goal is to get one useful screen running before adding cloud services.</w:t>
      </w:r>
    </w:p>
    <w:bookmarkStart w:id="50" w:name="play-by-play"/>
    <w:p>
      <w:pPr>
        <w:pStyle w:val="Heading2"/>
        <w:jc w:val="left"/>
      </w:pPr>
      <w:r>
        <w:t xml:space="preserve">Play-by-Play</w:t>
      </w:r>
    </w:p>
    <w:p>
      <w:pPr>
        <w:pStyle w:val="SourceCode"/>
      </w:pPr>
      <w:r>
        <w:rPr>
          <w:rStyle w:val="FunctionTok"/>
        </w:rPr>
        <w:t xml:space="preserve">git</w:t>
      </w:r>
      <w:r>
        <w:rPr>
          <w:rStyle w:val="NormalTok"/>
        </w:rPr>
        <w:t xml:space="preserve"> clone https://github.com/Esturban/microsoft-hackathon-riyadh-mobility.git</w:t>
      </w:r>
      <w:r>
        <w:br/>
      </w:r>
      <w:r>
        <w:rPr>
          <w:rStyle w:val="BuiltInTok"/>
        </w:rPr>
        <w:t xml:space="preserve">cd</w:t>
      </w:r>
      <w:r>
        <w:rPr>
          <w:rStyle w:val="NormalTok"/>
        </w:rPr>
        <w:t xml:space="preserve"> microsoft-hackathon-riyadh-mobility</w:t>
      </w:r>
      <w:r>
        <w:br/>
      </w: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p>
    <w:p>
      <w:pPr>
        <w:pStyle w:val="FirstParagraph"/>
      </w:pPr>
      <w:r>
        <w:t xml:space="preserve">Open</w:t>
      </w:r>
      <w:r>
        <w:t xml:space="preserve"> </w:t>
      </w:r>
      <w:r>
        <w:rPr>
          <w:rStyle w:val="VerbatimChar"/>
        </w:rPr>
        <w:t xml:space="preserve">.env</w:t>
      </w:r>
      <w:r>
        <w:t xml:space="preserve"> </w:t>
      </w:r>
      <w:r>
        <w:t xml:space="preserve">and confirm the default local mode:</w:t>
      </w:r>
    </w:p>
    <w:p>
      <w:pPr>
        <w:pStyle w:val="SourceCode"/>
      </w:pPr>
      <w:r>
        <w:rPr>
          <w:rStyle w:val="VerbatimChar"/>
        </w:rPr>
        <w:t xml:space="preserve">DATA_MODE=sample</w:t>
      </w:r>
    </w:p>
    <w:p>
      <w:pPr>
        <w:pStyle w:val="FirstParagraph"/>
      </w:pPr>
      <w:r>
        <w:t xml:space="preserve">Start the app: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p>
    <w:p>
      <w:pPr>
        <w:pStyle w:val="FirstParagraph"/>
      </w:pPr>
      <w:r>
        <w:t xml:space="preserve">Open the dashboard:</w:t>
      </w:r>
    </w:p>
    <w:p>
      <w:pPr>
        <w:pStyle w:val="SourceCode"/>
      </w:pPr>
      <w:r>
        <w:rPr>
          <w:rStyle w:val="VerbatimChar"/>
        </w:rPr>
        <w:t xml:space="preserve">http://127.0.0.1:8000</w:t>
      </w:r>
    </w:p>
    <w:p>
      <w:pPr>
        <w:pStyle w:val="FirstParagraph"/>
      </w:pPr>
      <w:r>
        <w:t xml:space="preserve">The first page load can take time. Wait for the district selector, layer controls, map container, and score panel area before deciding whether the app is loaded. If Azure Maps is not configured, the app should use the OpenStreetMap fallback and still show the route overlays.</w:t>
      </w:r>
    </w:p>
    <w:p>
      <w:pPr>
        <w:pStyle w:val="CaptionedFigure"/>
        <w:spacing w:before="60" w:after="100"/>
        <w:jc w:val="center"/>
      </w:pPr>
      <w:r>
        <w:drawing>
          <wp:inline>
            <wp:extent cx="5334000" cy="3669145"/>
            <wp:effectExtent b="0" l="0" r="0" t="0"/>
            <wp:docPr descr="Map layers screenshot" title="" id="48" name="Picture"/>
            <a:graphic>
              <a:graphicData uri="http://schemas.openxmlformats.org/drawingml/2006/picture">
                <pic:pic>
                  <pic:nvPicPr>
                    <pic:cNvPr descr="docs/assets/rebuild-guide/map-layers.png" id="49" name="Picture"/>
                    <pic:cNvPicPr>
                      <a:picLocks noChangeArrowheads="1" noChangeAspect="1"/>
                    </pic:cNvPicPr>
                  </pic:nvPicPr>
                  <pic:blipFill>
                    <a:blip r:embed="rId47"/>
                    <a:stretch>
                      <a:fillRect/>
                    </a:stretch>
                  </pic:blipFill>
                  <pic:spPr bwMode="auto">
                    <a:xfrm>
                      <a:off x="0" y="0"/>
                      <a:ext cx="5334000" cy="3669145"/>
                    </a:xfrm>
                    <a:prstGeom prst="rect">
                      <a:avLst/>
                    </a:prstGeom>
                    <a:noFill/>
                    <a:ln w="9525">
                      <a:noFill/>
                      <a:headEnd/>
                      <a:tailEnd/>
                    </a:ln>
                  </pic:spPr>
                </pic:pic>
              </a:graphicData>
            </a:graphic>
          </wp:inline>
        </w:drawing>
      </w:r>
    </w:p>
    <w:p>
      <w:pPr>
        <w:pStyle w:val="ImageCaption"/>
      </w:pPr>
      <w:r>
        <w:t xml:space="preserve">Map layers screenshot</w:t>
      </w:r>
    </w:p>
    <w:p>
      <w:pPr>
        <w:pStyle w:val="BodyText"/>
        <w:jc w:val="center"/>
      </w:pPr>
      <w:r>
        <w:rPr>
          <w:i/>
          <w:iCs/>
          <w:color w:val="566982"/>
          <w:sz w:val="18"/>
        </w:rPr>
        <w:t xml:space="preserve">Figure: metro and bus layers rendered locally with OpenStreetMap fallback tiles.</w:t>
      </w:r>
    </w:p>
    <w:bookmarkEnd w:id="50"/>
    <w:bookmarkStart w:id="51" w:name="local-verification-checklist"/>
    <w:p>
      <w:pPr>
        <w:pStyle w:val="Heading2"/>
        <w:jc w:val="left"/>
      </w:pPr>
      <w:r>
        <w:t xml:space="preserve">Local Verification Checklist</w:t>
      </w:r>
    </w:p>
    <w:p>
      <w:pPr>
        <w:pStyle w:val="Compact"/>
        <w:numPr>
          <w:ilvl w:val="0"/>
          <w:numId w:val="1002"/>
        </w:numPr>
      </w:pPr>
      <w:r>
        <w:t xml:space="preserve">Dashboard loads at</w:t>
      </w:r>
      <w:r>
        <w:t xml:space="preserve"> </w:t>
      </w:r>
      <w:r>
        <w:rPr>
          <w:rStyle w:val="VerbatimChar"/>
        </w:rPr>
        <w:t xml:space="preserve">http://127.0.0.1:8000</w:t>
      </w:r>
      <w:r>
        <w:t xml:space="preserve">.</w:t>
      </w:r>
    </w:p>
    <w:p>
      <w:pPr>
        <w:pStyle w:val="Compact"/>
        <w:numPr>
          <w:ilvl w:val="0"/>
          <w:numId w:val="1002"/>
        </w:numPr>
      </w:pPr>
      <w:r>
        <w:t xml:space="preserve">Map renders using Azure Maps or the OpenStreetMap fallback.</w:t>
      </w:r>
    </w:p>
    <w:p>
      <w:pPr>
        <w:pStyle w:val="Compact"/>
        <w:numPr>
          <w:ilvl w:val="0"/>
          <w:numId w:val="1002"/>
        </w:numPr>
      </w:pPr>
      <w:r>
        <w:t xml:space="preserve">Metro and bus layers appear.</w:t>
      </w:r>
    </w:p>
    <w:p>
      <w:pPr>
        <w:pStyle w:val="Compact"/>
        <w:numPr>
          <w:ilvl w:val="0"/>
          <w:numId w:val="1002"/>
        </w:numPr>
      </w:pPr>
      <w:r>
        <w:t xml:space="preserve">District selector has 10 Riyadh districts.</w:t>
      </w:r>
    </w:p>
    <w:p>
      <w:pPr>
        <w:pStyle w:val="Compact"/>
        <w:numPr>
          <w:ilvl w:val="0"/>
          <w:numId w:val="1002"/>
        </w:numPr>
      </w:pPr>
      <w:r>
        <w:t xml:space="preserve">Selecting a district updates the score panel.</w:t>
      </w:r>
    </w:p>
    <w:p>
      <w:pPr>
        <w:pStyle w:val="Compact"/>
        <w:numPr>
          <w:ilvl w:val="0"/>
          <w:numId w:val="1002"/>
        </w:numPr>
      </w:pPr>
      <w:r>
        <w:rPr>
          <w:rStyle w:val="VerbatimChar"/>
        </w:rPr>
        <w:t xml:space="preserve">/health</w:t>
      </w:r>
      <w:r>
        <w:t xml:space="preserve"> </w:t>
      </w:r>
      <w:r>
        <w:t xml:space="preserve">returns</w:t>
      </w:r>
      <w:r>
        <w:t xml:space="preserve"> </w:t>
      </w:r>
      <w:r>
        <w:rPr>
          <w:rStyle w:val="VerbatimChar"/>
        </w:rPr>
        <w:t xml:space="preserve">{"status":"ok"}</w:t>
      </w:r>
      <w:r>
        <w:t xml:space="preserve">.</w:t>
      </w:r>
    </w:p>
    <w:p>
      <w:pPr>
        <w:pStyle w:val="Compact"/>
        <w:numPr>
          <w:ilvl w:val="0"/>
          <w:numId w:val="1002"/>
        </w:numPr>
      </w:pPr>
      <w:r>
        <w:rPr>
          <w:rStyle w:val="VerbatimChar"/>
        </w:rPr>
        <w:t xml:space="preserve">/api/data-status</w:t>
      </w:r>
      <w:r>
        <w:t xml:space="preserve"> </w:t>
      </w:r>
      <w:r>
        <w:t xml:space="preserve">reports active sample mode.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http://127.0.0.1:8000/health</w:t>
      </w:r>
      <w:r>
        <w:br/>
      </w:r>
      <w:r>
        <w:rPr>
          <w:rStyle w:val="ExtensionTok"/>
        </w:rPr>
        <w:t xml:space="preserve">curl</w:t>
      </w:r>
      <w:r>
        <w:rPr>
          <w:rStyle w:val="NormalTok"/>
        </w:rPr>
        <w:t xml:space="preserve"> </w:t>
      </w:r>
      <w:r>
        <w:rPr>
          <w:rStyle w:val="AttributeTok"/>
        </w:rPr>
        <w:t xml:space="preserve">-s</w:t>
      </w:r>
      <w:r>
        <w:rPr>
          <w:rStyle w:val="NormalTok"/>
        </w:rPr>
        <w:t xml:space="preserve"> http://127.0.0.1:8000/api/data-status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p>
    <w:bookmarkEnd w:id="51"/>
    <w:bookmarkEnd w:id="52"/>
    <w:bookmarkStart w:id="60" w:name="backend-walkthrough"/>
    <w:p>
      <w:pPr>
        <w:pStyle w:val="Heading1"/>
        <w:jc w:val="left"/>
      </w:pPr>
      <w:r>
        <w:t xml:space="preserve">6. Backend Walkthrough</w:t>
      </w:r>
    </w:p>
    <w:p>
      <w:pPr>
        <w:pStyle w:val="FirstParagraph"/>
      </w:pPr>
      <w:r>
        <w:t xml:space="preserve">The backend is a small FastAPI application. It serves both the API and the static frontend so the starter kit stays easy to run and easy to deploy.</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Endpoint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Purpose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a builder should look for</w:t>
            </w:r>
          </w:p>
        </w:tc>
      </w:tr>
      <w:tr>
        <w:tc>
          <w:tcPr>
            <w:vAlign w:val="center"/>
            <w:tcMar>
              <w:top w:w="120" w:type="dxa"/>
              <w:bottom w:w="120" w:type="dxa"/>
              <w:left w:w="150" w:type="dxa"/>
              <w:right w:w="150" w:type="dxa"/>
            </w:tcMar>
          </w:tcPr>
          <w:p>
            <w:pPr>
              <w:pStyle w:val="Compact"/>
              <w:spacing w:after="40"/>
            </w:pPr>
            <w:r>
              <w:rPr>
                <w:rStyle w:val="VerbatimChar"/>
                <w:sz w:val="18"/>
              </w:rPr>
              <w:t xml:space="preserve">GET /health</w:t>
            </w:r>
          </w:p>
        </w:tc>
        <w:tc>
          <w:tcPr>
            <w:vAlign w:val="center"/>
            <w:tcMar>
              <w:top w:w="120" w:type="dxa"/>
              <w:bottom w:w="120" w:type="dxa"/>
              <w:left w:w="150" w:type="dxa"/>
              <w:right w:w="150" w:type="dxa"/>
            </w:tcMar>
          </w:tcPr>
          <w:p>
            <w:pPr>
              <w:pStyle w:val="Compact"/>
              <w:spacing w:after="40"/>
            </w:pPr>
            <w:r>
              <w:rPr>
                <w:sz w:val="18"/>
              </w:rPr>
              <w:t xml:space="preserve">Confirms the app is alive</w:t>
            </w:r>
          </w:p>
        </w:tc>
        <w:tc>
          <w:tcPr>
            <w:vAlign w:val="center"/>
            <w:tcMar>
              <w:top w:w="120" w:type="dxa"/>
              <w:bottom w:w="120" w:type="dxa"/>
              <w:left w:w="150" w:type="dxa"/>
              <w:right w:w="150" w:type="dxa"/>
            </w:tcMar>
          </w:tcPr>
          <w:p>
            <w:pPr>
              <w:pStyle w:val="Compact"/>
              <w:spacing w:after="40"/>
            </w:pPr>
            <w:r>
              <w:rPr>
                <w:rStyle w:val="VerbatimChar"/>
                <w:sz w:val="18"/>
              </w:rPr>
              <w:t xml:space="preserve">{"status":"ok"}</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/api/config</w:t>
            </w:r>
          </w:p>
        </w:tc>
        <w:tc>
          <w:tcPr>
            <w:vAlign w:val="center"/>
            <w:tcMar>
              <w:top w:w="120" w:type="dxa"/>
              <w:bottom w:w="120" w:type="dxa"/>
              <w:left w:w="150" w:type="dxa"/>
              <w:right w:w="150" w:type="dxa"/>
            </w:tcMar>
          </w:tcPr>
          <w:p>
            <w:pPr>
              <w:pStyle w:val="Compact"/>
              <w:spacing w:after="40"/>
            </w:pPr>
            <w:r>
              <w:rPr>
                <w:sz w:val="18"/>
              </w:rPr>
              <w:t xml:space="preserve">Sends runtime settings to the frontend</w:t>
            </w:r>
          </w:p>
        </w:tc>
        <w:tc>
          <w:tcPr>
            <w:vAlign w:val="center"/>
            <w:tcMar>
              <w:top w:w="120" w:type="dxa"/>
              <w:bottom w:w="120" w:type="dxa"/>
              <w:left w:w="150" w:type="dxa"/>
              <w:right w:w="150" w:type="dxa"/>
            </w:tcMar>
          </w:tcPr>
          <w:p>
            <w:pPr>
              <w:pStyle w:val="Compact"/>
              <w:spacing w:after="40"/>
            </w:pPr>
            <w:r>
              <w:rPr>
                <w:sz w:val="18"/>
              </w:rPr>
              <w:t xml:space="preserve">app name, map mode, access buffer, data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w:t>
            </w:r>
          </w:p>
        </w:tc>
        <w:tc>
          <w:tcPr>
            <w:vAlign w:val="center"/>
            <w:tcMar>
              <w:top w:w="120" w:type="dxa"/>
              <w:bottom w:w="120" w:type="dxa"/>
              <w:left w:w="150" w:type="dxa"/>
              <w:right w:w="150" w:type="dxa"/>
            </w:tcMar>
          </w:tcPr>
          <w:p>
            <w:pPr>
              <w:pStyle w:val="Compact"/>
              <w:spacing w:after="40"/>
            </w:pPr>
            <w:r>
              <w:rPr>
                <w:sz w:val="18"/>
              </w:rPr>
              <w:t xml:space="preserve">Returns route summaries and KPI counts</w:t>
            </w:r>
          </w:p>
        </w:tc>
        <w:tc>
          <w:tcPr>
            <w:vAlign w:val="center"/>
            <w:tcMar>
              <w:top w:w="120" w:type="dxa"/>
              <w:bottom w:w="120" w:type="dxa"/>
              <w:left w:w="150" w:type="dxa"/>
              <w:right w:w="150" w:type="dxa"/>
            </w:tcMar>
          </w:tcPr>
          <w:p>
            <w:pPr>
              <w:pStyle w:val="Compact"/>
              <w:spacing w:after="40"/>
            </w:pPr>
            <w:r>
              <w:rPr>
                <w:sz w:val="18"/>
              </w:rPr>
              <w:t xml:space="preserve">metro and bus route counts</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/api/routes/geojson?mode=metro</w:t>
            </w:r>
          </w:p>
        </w:tc>
        <w:tc>
          <w:tcPr>
            <w:vAlign w:val="center"/>
            <w:tcMar>
              <w:top w:w="120" w:type="dxa"/>
              <w:bottom w:w="120" w:type="dxa"/>
              <w:left w:w="150" w:type="dxa"/>
              <w:right w:w="150" w:type="dxa"/>
            </w:tcMar>
          </w:tcPr>
          <w:p>
            <w:pPr>
              <w:pStyle w:val="Compact"/>
              <w:spacing w:after="40"/>
            </w:pPr>
            <w:r>
              <w:rPr>
                <w:sz w:val="18"/>
              </w:rPr>
              <w:t xml:space="preserve">Returns map-ready metro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/api/routes/geojson?mode=bus</w:t>
            </w:r>
          </w:p>
        </w:tc>
        <w:tc>
          <w:tcPr>
            <w:vAlign w:val="center"/>
            <w:tcMar>
              <w:top w:w="120" w:type="dxa"/>
              <w:bottom w:w="120" w:type="dxa"/>
              <w:left w:w="150" w:type="dxa"/>
              <w:right w:w="150" w:type="dxa"/>
            </w:tcMar>
          </w:tcPr>
          <w:p>
            <w:pPr>
              <w:pStyle w:val="Compact"/>
              <w:spacing w:after="40"/>
            </w:pPr>
            <w:r>
              <w:rPr>
                <w:sz w:val="18"/>
              </w:rPr>
              <w:t xml:space="preserve">Returns map-ready bus geometry</w:t>
            </w:r>
          </w:p>
        </w:tc>
        <w:tc>
          <w:tcPr>
            <w:vAlign w:val="center"/>
            <w:tcMar>
              <w:top w:w="120" w:type="dxa"/>
              <w:bottom w:w="120" w:type="dxa"/>
              <w:left w:w="150" w:type="dxa"/>
              <w:right w:w="150" w:type="dxa"/>
            </w:tcMar>
          </w:tcPr>
          <w:p>
            <w:pPr>
              <w:pStyle w:val="Compact"/>
              <w:spacing w:after="40"/>
            </w:pPr>
            <w:r>
              <w:rPr>
                <w:sz w:val="18"/>
              </w:rPr>
              <w:t xml:space="preserve">GeoJSON payload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/api/districts</w:t>
            </w:r>
          </w:p>
        </w:tc>
        <w:tc>
          <w:tcPr>
            <w:vAlign w:val="center"/>
            <w:tcMar>
              <w:top w:w="120" w:type="dxa"/>
              <w:bottom w:w="120" w:type="dxa"/>
              <w:left w:w="150" w:type="dxa"/>
              <w:right w:w="150" w:type="dxa"/>
            </w:tcMar>
          </w:tcPr>
          <w:p>
            <w:pPr>
              <w:pStyle w:val="Compact"/>
              <w:spacing w:after="40"/>
            </w:pPr>
            <w:r>
              <w:rPr>
                <w:sz w:val="18"/>
              </w:rPr>
              <w:t xml:space="preserve">Returns district selector records</w:t>
            </w:r>
          </w:p>
        </w:tc>
        <w:tc>
          <w:tcPr>
            <w:vAlign w:val="center"/>
            <w:tcMar>
              <w:top w:w="120" w:type="dxa"/>
              <w:bottom w:w="120" w:type="dxa"/>
              <w:left w:w="150" w:type="dxa"/>
              <w:right w:w="150" w:type="dxa"/>
            </w:tcMar>
          </w:tcPr>
          <w:p>
            <w:pPr>
              <w:pStyle w:val="Compact"/>
              <w:spacing w:after="40"/>
            </w:pPr>
            <w:r>
              <w:rPr>
                <w:sz w:val="18"/>
              </w:rPr>
              <w:t xml:space="preserve">10 district items in sample mode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/api/score?districtId=...</w:t>
            </w:r>
          </w:p>
        </w:tc>
        <w:tc>
          <w:tcPr>
            <w:vAlign w:val="center"/>
            <w:tcMar>
              <w:top w:w="120" w:type="dxa"/>
              <w:bottom w:w="120" w:type="dxa"/>
              <w:left w:w="150" w:type="dxa"/>
              <w:right w:w="150" w:type="dxa"/>
            </w:tcMar>
          </w:tcPr>
          <w:p>
            <w:pPr>
              <w:pStyle w:val="Compact"/>
              <w:spacing w:after="40"/>
            </w:pPr>
            <w:r>
              <w:rPr>
                <w:sz w:val="18"/>
              </w:rPr>
              <w:t xml:space="preserve">Returns score and score components</w:t>
            </w:r>
          </w:p>
        </w:tc>
        <w:tc>
          <w:tcPr>
            <w:vAlign w:val="center"/>
            <w:tcMar>
              <w:top w:w="120" w:type="dxa"/>
              <w:bottom w:w="120" w:type="dxa"/>
              <w:left w:w="150" w:type="dxa"/>
              <w:right w:w="150" w:type="dxa"/>
            </w:tcMar>
          </w:tcPr>
          <w:p>
            <w:pPr>
              <w:pStyle w:val="Compact"/>
              <w:spacing w:after="40"/>
            </w:pPr>
            <w:r>
              <w:rPr>
                <w:sz w:val="18"/>
              </w:rPr>
              <w:t xml:space="preserve">score, rating, metro count, bus count, penalty</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/api/live-events</w:t>
            </w:r>
          </w:p>
        </w:tc>
        <w:tc>
          <w:tcPr>
            <w:vAlign w:val="center"/>
            <w:tcMar>
              <w:top w:w="120" w:type="dxa"/>
              <w:bottom w:w="120" w:type="dxa"/>
              <w:left w:w="150" w:type="dxa"/>
              <w:right w:w="150" w:type="dxa"/>
            </w:tcMar>
          </w:tcPr>
          <w:p>
            <w:pPr>
              <w:pStyle w:val="Compact"/>
              <w:spacing w:after="40"/>
            </w:pPr>
            <w:r>
              <w:rPr>
                <w:sz w:val="18"/>
              </w:rPr>
              <w:t xml:space="preserve">Returns mock or configured event overlays</w:t>
            </w:r>
          </w:p>
        </w:tc>
        <w:tc>
          <w:tcPr>
            <w:vAlign w:val="center"/>
            <w:tcMar>
              <w:top w:w="120" w:type="dxa"/>
              <w:bottom w:w="120" w:type="dxa"/>
              <w:left w:w="150" w:type="dxa"/>
              <w:right w:w="150" w:type="dxa"/>
            </w:tcMar>
          </w:tcPr>
          <w:p>
            <w:pPr>
              <w:pStyle w:val="Compact"/>
              <w:spacing w:after="40"/>
            </w:pPr>
            <w:r>
              <w:rPr>
                <w:sz w:val="18"/>
              </w:rPr>
              <w:t xml:space="preserve">delay/event items and source</w:t>
            </w:r>
          </w:p>
        </w:tc>
      </w:tr>
      <w:tr>
        <w:tc>
          <w:tcPr>
            <w:vAlign w:val="center"/>
            <w:tcMar>
              <w:top w:w="120" w:type="dxa"/>
              <w:bottom w:w="120" w:type="dxa"/>
              <w:left w:w="150" w:type="dxa"/>
              <w:right w:w="150" w:type="dxa"/>
            </w:tcMar>
          </w:tcPr>
          <w:p>
            <w:pPr>
              <w:pStyle w:val="Compact"/>
              <w:spacing w:after="40"/>
            </w:pPr>
            <w:r>
              <w:rPr>
                <w:rStyle w:val="VerbatimChar"/>
                <w:sz w:val="18"/>
              </w:rPr>
              <w:t xml:space="preserve">GET /api/data-status</w:t>
            </w:r>
          </w:p>
        </w:tc>
        <w:tc>
          <w:tcPr>
            <w:vAlign w:val="center"/>
            <w:tcMar>
              <w:top w:w="120" w:type="dxa"/>
              <w:bottom w:w="120" w:type="dxa"/>
              <w:left w:w="150" w:type="dxa"/>
              <w:right w:w="150" w:type="dxa"/>
            </w:tcMar>
          </w:tcPr>
          <w:p>
            <w:pPr>
              <w:pStyle w:val="Compact"/>
              <w:spacing w:after="40"/>
            </w:pPr>
            <w:r>
              <w:rPr>
                <w:sz w:val="18"/>
              </w:rPr>
              <w:t xml:space="preserve">Explains active data source and fallback status</w:t>
            </w:r>
          </w:p>
        </w:tc>
        <w:tc>
          <w:tcPr>
            <w:vAlign w:val="center"/>
            <w:tcMar>
              <w:top w:w="120" w:type="dxa"/>
              <w:bottom w:w="120" w:type="dxa"/>
              <w:left w:w="150" w:type="dxa"/>
              <w:right w:w="150" w:type="dxa"/>
            </w:tcMar>
          </w:tcPr>
          <w:p>
            <w:pPr>
              <w:pStyle w:val="Compact"/>
              <w:spacing w:after="40"/>
            </w:pPr>
            <w:r>
              <w:rPr>
                <w:sz w:val="18"/>
              </w:rPr>
              <w:t xml:space="preserve">current mode, counts, fallback message</w:t>
            </w:r>
          </w:p>
        </w:tc>
      </w:tr>
    </w:tbl>
    <w:p>
      <w:pPr>
        <w:pStyle w:val="CaptionedFigure"/>
        <w:spacing w:before="60" w:after="100"/>
        <w:jc w:val="center"/>
      </w:pPr>
      <w:r>
        <w:drawing>
          <wp:inline>
            <wp:extent cx="5334000" cy="2927032"/>
            <wp:effectExtent b="0" l="0" r="0" t="0"/>
            <wp:docPr descr="API data status screenshot" title="" id="54" name="Picture"/>
            <a:graphic>
              <a:graphicData uri="http://schemas.openxmlformats.org/drawingml/2006/picture">
                <pic:pic>
                  <pic:nvPicPr>
                    <pic:cNvPr descr="docs/assets/rebuild-guide/api-data-status.png" id="55" name="Picture"/>
                    <pic:cNvPicPr>
                      <a:picLocks noChangeArrowheads="1" noChangeAspect="1"/>
                    </pic:cNvPicPr>
                  </pic:nvPicPr>
                  <pic:blipFill>
                    <a:blip r:embed="rId53"/>
                    <a:stretch>
                      <a:fillRect/>
                    </a:stretch>
                  </pic:blipFill>
                  <pic:spPr bwMode="auto">
                    <a:xfrm>
                      <a:off x="0" y="0"/>
                      <a:ext cx="5334000" cy="2927032"/>
                    </a:xfrm>
                    <a:prstGeom prst="rect">
                      <a:avLst/>
                    </a:prstGeom>
                    <a:noFill/>
                    <a:ln w="9525">
                      <a:noFill/>
                      <a:headEnd/>
                      <a:tailEnd/>
                    </a:ln>
                  </pic:spPr>
                </pic:pic>
              </a:graphicData>
            </a:graphic>
          </wp:inline>
        </w:drawing>
      </w:r>
    </w:p>
    <w:p>
      <w:pPr>
        <w:pStyle w:val="ImageCaption"/>
      </w:pPr>
      <w:r>
        <w:t xml:space="preserve">API data status screenshot</w:t>
      </w:r>
    </w:p>
    <w:p>
      <w:pPr>
        <w:pStyle w:val="BodyText"/>
        <w:jc w:val="center"/>
      </w:pPr>
      <w:r>
        <w:rPr>
          <w:i/>
          <w:iCs/>
          <w:color w:val="566982"/>
          <w:sz w:val="18"/>
        </w:rPr>
        <w:t xml:space="preserve">Figure:</w:t>
      </w:r>
      <w:r>
        <w:rPr>
          <w:i/>
          <w:iCs/>
          <w:color w:val="566982"/>
          <w:sz w:val="18"/>
        </w:rPr>
        <w:t xml:space="preserve"> </w:t>
      </w:r>
      <w:r>
        <w:rPr>
          <w:rStyle w:val="VerbatimChar"/>
          <w:i/>
          <w:iCs/>
          <w:color w:val="566982"/>
          <w:sz w:val="18"/>
        </w:rPr>
        <w:t xml:space="preserve">/api/data-status</w:t>
      </w:r>
      <w:r>
        <w:rPr>
          <w:i/>
          <w:iCs/>
          <w:color w:val="566982"/>
          <w:sz w:val="18"/>
        </w:rPr>
        <w:t xml:space="preserve"> </w:t>
      </w:r>
      <w:r>
        <w:rPr>
          <w:i/>
          <w:iCs/>
          <w:color w:val="566982"/>
          <w:sz w:val="18"/>
        </w:rPr>
        <w:t xml:space="preserve">confirms sample mode and explains the fallback path.</w:t>
      </w:r>
    </w:p>
    <w:bookmarkStart w:id="59" w:name="score-request-flow"/>
    <w:p>
      <w:pPr>
        <w:pStyle w:val="Heading2"/>
        <w:jc w:val="left"/>
      </w:pPr>
      <w:r>
        <w:t xml:space="preserve">Score Request Flow</w:t>
      </w:r>
    </w:p>
    <w:p>
      <w:pPr>
        <w:pStyle w:val="CaptionedFigure"/>
        <w:spacing w:before="60" w:after="100"/>
        <w:jc w:val="center"/>
      </w:pPr>
      <w:r>
        <w:drawing>
          <wp:inline>
            <wp:extent cx="5334000" cy="1540933"/>
            <wp:effectExtent b="0" l="0" r="0" t="0"/>
            <wp:docPr descr="Score request flow" title="" id="57" name="Picture"/>
            <a:graphic>
              <a:graphicData uri="http://schemas.openxmlformats.org/drawingml/2006/picture">
                <pic:pic>
                  <pic:nvPicPr>
                    <pic:cNvPr descr="docs/assets/rebuild-guide/diagram-score-request.png" id="58" name="Picture"/>
                    <pic:cNvPicPr>
                      <a:picLocks noChangeArrowheads="1" noChangeAspect="1"/>
                    </pic:cNvPicPr>
                  </pic:nvPicPr>
                  <pic:blipFill>
                    <a:blip r:embed="rId56"/>
                    <a:stretch>
                      <a:fillRect/>
                    </a:stretch>
                  </pic:blipFill>
                  <pic:spPr bwMode="auto">
                    <a:xfrm>
                      <a:off x="0" y="0"/>
                      <a:ext cx="5334000" cy="1540933"/>
                    </a:xfrm>
                    <a:prstGeom prst="rect">
                      <a:avLst/>
                    </a:prstGeom>
                    <a:noFill/>
                    <a:ln w="9525">
                      <a:noFill/>
                      <a:headEnd/>
                      <a:tailEnd/>
                    </a:ln>
                  </pic:spPr>
                </pic:pic>
              </a:graphicData>
            </a:graphic>
          </wp:inline>
        </w:drawing>
      </w:r>
    </w:p>
    <w:p>
      <w:pPr>
        <w:pStyle w:val="ImageCaption"/>
      </w:pPr>
      <w:r>
        <w:t xml:space="preserve">Score request flow</w:t>
      </w:r>
    </w:p>
    <w:p>
      <w:pPr>
        <w:pStyle w:val="BodyText"/>
      </w:pPr>
      <w:r>
        <w:t xml:space="preserve">The score formula stays on the backend so it can be tested and reused:</w:t>
      </w:r>
    </w:p>
    <w:p>
      <w:pPr>
        <w:pStyle w:val="SourceCode"/>
      </w:pPr>
      <w:r>
        <w:rPr>
          <w:rStyle w:val="VerbatimChar"/>
        </w:rPr>
        <w:t xml:space="preserve">score = (nearby metro count x 3) + nearby bus count - live delay penalty</w:t>
      </w:r>
    </w:p>
    <w:p>
      <w:pPr>
        <w:pStyle w:val="FirstParagraph"/>
      </w:pPr>
      <w:r>
        <w:t xml:space="preserve">Keep this formula easy to explain. Teams can later replace the weights or add new inputs such as parking, walkability, public services, heat, or event density.</w:t>
      </w:r>
    </w:p>
    <w:bookmarkEnd w:id="59"/>
    <w:bookmarkEnd w:id="60"/>
    <w:bookmarkStart w:id="70" w:name="frontend-walkthrough"/>
    <w:p>
      <w:pPr>
        <w:pStyle w:val="Heading1"/>
        <w:jc w:val="left"/>
      </w:pPr>
      <w:r>
        <w:t xml:space="preserve">7. Frontend Walkthrough</w:t>
      </w:r>
    </w:p>
    <w:p>
      <w:pPr>
        <w:pStyle w:val="FirstParagraph"/>
      </w:pPr>
      <w:r>
        <w:t xml:space="preserve">The frontend is a single-page application built with Vanilla JavaScript. This keeps the starter kit accessible to mixed-experience teams while still showing a complete app workflow.</w:t>
      </w:r>
    </w:p>
    <w:p>
      <w:pPr>
        <w:pStyle w:val="BodyText"/>
      </w:pPr>
      <w:r>
        <w:t xml:space="preserve">On startup,</w:t>
      </w:r>
      <w:r>
        <w:t xml:space="preserve"> </w:t>
      </w:r>
      <w:r>
        <w:rPr>
          <w:rStyle w:val="VerbatimChar"/>
        </w:rPr>
        <w:t xml:space="preserve">app/static/src/main.js</w:t>
      </w:r>
      <w:r>
        <w:t xml:space="preserve"> </w:t>
      </w:r>
      <w:r>
        <w:t xml:space="preserve">fetches the core runtime data in parallel:</w:t>
      </w:r>
    </w:p>
    <w:p>
      <w:pPr>
        <w:pStyle w:val="SourceCode"/>
      </w:pPr>
      <w:r>
        <w:rPr>
          <w:rStyle w:val="KeywordTok"/>
        </w:rPr>
        <w:t xml:space="preserve">const</w:t>
      </w:r>
      <w:r>
        <w:rPr>
          <w:rStyle w:val="NormalTok"/>
        </w:rPr>
        <w:t xml:space="preserve"> [config</w:t>
      </w:r>
      <w:r>
        <w:rPr>
          <w:rStyle w:val="OperatorTok"/>
        </w:rPr>
        <w:t xml:space="preserve">,</w:t>
      </w:r>
      <w:r>
        <w:rPr>
          <w:rStyle w:val="NormalTok"/>
        </w:rPr>
        <w:t xml:space="preserve"> routes</w:t>
      </w:r>
      <w:r>
        <w:rPr>
          <w:rStyle w:val="OperatorTok"/>
        </w:rPr>
        <w:t xml:space="preserve">,</w:t>
      </w:r>
      <w:r>
        <w:rPr>
          <w:rStyle w:val="NormalTok"/>
        </w:rPr>
        <w:t xml:space="preserve"> metro</w:t>
      </w:r>
      <w:r>
        <w:rPr>
          <w:rStyle w:val="OperatorTok"/>
        </w:rPr>
        <w:t xml:space="preserve">,</w:t>
      </w:r>
      <w:r>
        <w:rPr>
          <w:rStyle w:val="NormalTok"/>
        </w:rPr>
        <w:t xml:space="preserve"> bus</w:t>
      </w:r>
      <w:r>
        <w:rPr>
          <w:rStyle w:val="OperatorTok"/>
        </w:rPr>
        <w:t xml:space="preserve">,</w:t>
      </w:r>
      <w:r>
        <w:rPr>
          <w:rStyle w:val="NormalTok"/>
        </w:rPr>
        <w:t xml:space="preserve"> districts</w:t>
      </w:r>
      <w:r>
        <w:rPr>
          <w:rStyle w:val="OperatorTok"/>
        </w:rPr>
        <w:t xml:space="preserve">,</w:t>
      </w:r>
      <w:r>
        <w:rPr>
          <w:rStyle w:val="NormalTok"/>
        </w:rPr>
        <w:t xml:space="preserve"> events</w:t>
      </w:r>
      <w:r>
        <w:rPr>
          <w:rStyle w:val="OperatorTok"/>
        </w:rPr>
        <w:t xml:space="preserve">,</w:t>
      </w:r>
      <w:r>
        <w:rPr>
          <w:rStyle w:val="NormalTok"/>
        </w:rPr>
        <w:t xml:space="preserve"> dataStatus]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api</w:t>
      </w:r>
      <w:r>
        <w:rPr>
          <w:rStyle w:val="OperatorTok"/>
        </w:rPr>
        <w:t xml:space="preserve">.</w:t>
      </w:r>
      <w:r>
        <w:rPr>
          <w:rStyle w:val="FunctionTok"/>
        </w:rPr>
        <w:t xml:space="preserve">getConfig</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"metro"</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getRouteGeojson</w:t>
      </w:r>
      <w:r>
        <w:rPr>
          <w:rStyle w:val="NormalTok"/>
        </w:rPr>
        <w:t xml:space="preserve">(</w:t>
      </w:r>
      <w:r>
        <w:rPr>
          <w:rStyle w:val="StringTok"/>
        </w:rPr>
        <w:t xml:space="preserve">"bus"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getDistricts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getLiveEvents</w:t>
      </w:r>
      <w:r>
        <w:rPr>
          <w:rStyle w:val="NormalTok"/>
        </w:rPr>
        <w:t xml:space="preserve">()</w:t>
      </w:r>
      <w:r>
        <w:rPr>
          <w:rStyle w:val="OperatorTok"/>
        </w:rPr>
        <w:t xml:space="preserve">,</w:t>
      </w:r>
      <w:r>
        <w:br/>
      </w:r>
      <w:r>
        <w:rPr>
          <w:rStyle w:val="NormalTok"/>
        </w:rPr>
        <w:t xml:space="preserve">  api</w:t>
      </w:r>
      <w:r>
        <w:rPr>
          <w:rStyle w:val="OperatorTok"/>
        </w:rPr>
        <w:t xml:space="preserve">.</w:t>
      </w:r>
      <w:r>
        <w:rPr>
          <w:rStyle w:val="FunctionTok"/>
        </w:rPr>
        <w:t xml:space="preserve">getDataStatus</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The map layer system makes the city data visible and explainable.</w:t>
      </w:r>
    </w:p>
    <w:tbl>
      <w:tblPr>
        <w:tblStyle w:val="Table"/>
        <w:tblW w:type="pct" w:w="5000"/>
        <w:jc w:val="center"/>
        <w:tblLayout w:type="fixed"/>
        <w:tblLook w:firstRow="1" w:lastRow="0" w:firstColumn="0" w:lastColumn="0" w:noHBand="0" w:noVBand="0" w:val="0020"/>
      </w:tblPr>
      <w:tblGrid>
        <w:gridCol w:w="2640"/>
        <w:gridCol w:w="2640"/>
        <w:gridCol w:w="264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Layer</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What it shows</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Why it matters</w:t>
            </w:r>
          </w:p>
        </w:tc>
      </w:tr>
      <w:tr>
        <w:tc>
          <w:tcPr>
            <w:vAlign w:val="center"/>
            <w:tcMar>
              <w:top w:w="120" w:type="dxa"/>
              <w:bottom w:w="120" w:type="dxa"/>
              <w:left w:w="150" w:type="dxa"/>
              <w:right w:w="150" w:type="dxa"/>
            </w:tcMar>
          </w:tcPr>
          <w:p>
            <w:pPr>
              <w:pStyle w:val="Compact"/>
              <w:spacing w:after="40"/>
            </w:pPr>
            <w:r>
              <w:rPr>
                <w:sz w:val="18"/>
              </w:rPr>
              <w:t xml:space="preserve">Metro lines</w:t>
            </w:r>
          </w:p>
        </w:tc>
        <w:tc>
          <w:tcPr>
            <w:vAlign w:val="center"/>
            <w:tcMar>
              <w:top w:w="120" w:type="dxa"/>
              <w:bottom w:w="120" w:type="dxa"/>
              <w:left w:w="150" w:type="dxa"/>
              <w:right w:w="150" w:type="dxa"/>
            </w:tcMar>
          </w:tcPr>
          <w:p>
            <w:pPr>
              <w:pStyle w:val="Compact"/>
              <w:spacing w:after="40"/>
            </w:pPr>
            <w:r>
              <w:rPr>
                <w:sz w:val="18"/>
              </w:rPr>
              <w:t xml:space="preserve">high-capacity mobility corridors</w:t>
            </w:r>
          </w:p>
        </w:tc>
        <w:tc>
          <w:tcPr>
            <w:vAlign w:val="center"/>
            <w:tcMar>
              <w:top w:w="120" w:type="dxa"/>
              <w:bottom w:w="120" w:type="dxa"/>
              <w:left w:w="150" w:type="dxa"/>
              <w:right w:w="150" w:type="dxa"/>
            </w:tcMar>
          </w:tcPr>
          <w:p>
            <w:pPr>
              <w:pStyle w:val="Compact"/>
              <w:spacing w:after="40"/>
            </w:pPr>
            <w:r>
              <w:rPr>
                <w:sz w:val="18"/>
              </w:rPr>
              <w:t xml:space="preserve">shows structural transit coverage</w:t>
            </w:r>
          </w:p>
        </w:tc>
      </w:tr>
      <w:tr>
        <w:tc>
          <w:tcPr>
            <w:vAlign w:val="center"/>
            <w:tcMar>
              <w:top w:w="120" w:type="dxa"/>
              <w:bottom w:w="120" w:type="dxa"/>
              <w:left w:w="150" w:type="dxa"/>
              <w:right w:w="150" w:type="dxa"/>
            </w:tcMar>
          </w:tcPr>
          <w:p>
            <w:pPr>
              <w:pStyle w:val="Compact"/>
              <w:spacing w:after="40"/>
            </w:pPr>
            <w:r>
              <w:rPr>
                <w:sz w:val="18"/>
              </w:rPr>
              <w:t xml:space="preserve">Bus routes</w:t>
            </w:r>
          </w:p>
        </w:tc>
        <w:tc>
          <w:tcPr>
            <w:vAlign w:val="center"/>
            <w:tcMar>
              <w:top w:w="120" w:type="dxa"/>
              <w:bottom w:w="120" w:type="dxa"/>
              <w:left w:w="150" w:type="dxa"/>
              <w:right w:w="150" w:type="dxa"/>
            </w:tcMar>
          </w:tcPr>
          <w:p>
            <w:pPr>
              <w:pStyle w:val="Compact"/>
              <w:spacing w:after="40"/>
            </w:pPr>
            <w:r>
              <w:rPr>
                <w:sz w:val="18"/>
              </w:rPr>
              <w:t xml:space="preserve">surface transit coverage</w:t>
            </w:r>
          </w:p>
        </w:tc>
        <w:tc>
          <w:tcPr>
            <w:vAlign w:val="center"/>
            <w:tcMar>
              <w:top w:w="120" w:type="dxa"/>
              <w:bottom w:w="120" w:type="dxa"/>
              <w:left w:w="150" w:type="dxa"/>
              <w:right w:w="150" w:type="dxa"/>
            </w:tcMar>
          </w:tcPr>
          <w:p>
            <w:pPr>
              <w:pStyle w:val="Compact"/>
              <w:spacing w:after="40"/>
            </w:pPr>
            <w:r>
              <w:rPr>
                <w:sz w:val="18"/>
              </w:rPr>
              <w:t xml:space="preserve">shows fine-grained network reach</w:t>
            </w:r>
          </w:p>
        </w:tc>
      </w:tr>
      <w:tr>
        <w:tc>
          <w:tcPr>
            <w:vAlign w:val="center"/>
            <w:tcMar>
              <w:top w:w="120" w:type="dxa"/>
              <w:bottom w:w="120" w:type="dxa"/>
              <w:left w:w="150" w:type="dxa"/>
              <w:right w:w="150" w:type="dxa"/>
            </w:tcMar>
          </w:tcPr>
          <w:p>
            <w:pPr>
              <w:pStyle w:val="Compact"/>
              <w:spacing w:after="40"/>
            </w:pPr>
            <w:r>
              <w:rPr>
                <w:sz w:val="18"/>
              </w:rPr>
              <w:t xml:space="preserve">Districts</w:t>
            </w:r>
          </w:p>
        </w:tc>
        <w:tc>
          <w:tcPr>
            <w:vAlign w:val="center"/>
            <w:tcMar>
              <w:top w:w="120" w:type="dxa"/>
              <w:bottom w:w="120" w:type="dxa"/>
              <w:left w:w="150" w:type="dxa"/>
              <w:right w:w="150" w:type="dxa"/>
            </w:tcMar>
          </w:tcPr>
          <w:p>
            <w:pPr>
              <w:pStyle w:val="Compact"/>
              <w:spacing w:after="40"/>
            </w:pPr>
            <w:r>
              <w:rPr>
                <w:sz w:val="18"/>
              </w:rPr>
              <w:t xml:space="preserve">selectable district points</w:t>
            </w:r>
          </w:p>
        </w:tc>
        <w:tc>
          <w:tcPr>
            <w:vAlign w:val="center"/>
            <w:tcMar>
              <w:top w:w="120" w:type="dxa"/>
              <w:bottom w:w="120" w:type="dxa"/>
              <w:left w:w="150" w:type="dxa"/>
              <w:right w:w="150" w:type="dxa"/>
            </w:tcMar>
          </w:tcPr>
          <w:p>
            <w:pPr>
              <w:pStyle w:val="Compact"/>
              <w:spacing w:after="40"/>
            </w:pPr>
            <w:r>
              <w:rPr>
                <w:sz w:val="18"/>
              </w:rPr>
              <w:t xml:space="preserve">anchors the score conversation</w:t>
            </w:r>
          </w:p>
        </w:tc>
      </w:tr>
      <w:tr>
        <w:tc>
          <w:tcPr>
            <w:vAlign w:val="center"/>
            <w:tcMar>
              <w:top w:w="120" w:type="dxa"/>
              <w:bottom w:w="120" w:type="dxa"/>
              <w:left w:w="150" w:type="dxa"/>
              <w:right w:w="150" w:type="dxa"/>
            </w:tcMar>
          </w:tcPr>
          <w:p>
            <w:pPr>
              <w:pStyle w:val="Compact"/>
              <w:spacing w:after="40"/>
            </w:pPr>
            <w:r>
              <w:rPr>
                <w:sz w:val="18"/>
              </w:rPr>
              <w:t xml:space="preserve">Live events</w:t>
            </w:r>
          </w:p>
        </w:tc>
        <w:tc>
          <w:tcPr>
            <w:vAlign w:val="center"/>
            <w:tcMar>
              <w:top w:w="120" w:type="dxa"/>
              <w:bottom w:w="120" w:type="dxa"/>
              <w:left w:w="150" w:type="dxa"/>
              <w:right w:w="150" w:type="dxa"/>
            </w:tcMar>
          </w:tcPr>
          <w:p>
            <w:pPr>
              <w:pStyle w:val="Compact"/>
              <w:spacing w:after="40"/>
            </w:pPr>
            <w:r>
              <w:rPr>
                <w:sz w:val="18"/>
              </w:rPr>
              <w:t xml:space="preserve">delay or incident markers</w:t>
            </w:r>
          </w:p>
        </w:tc>
        <w:tc>
          <w:tcPr>
            <w:vAlign w:val="center"/>
            <w:tcMar>
              <w:top w:w="120" w:type="dxa"/>
              <w:bottom w:w="120" w:type="dxa"/>
              <w:left w:w="150" w:type="dxa"/>
              <w:right w:w="150" w:type="dxa"/>
            </w:tcMar>
          </w:tcPr>
          <w:p>
            <w:pPr>
              <w:pStyle w:val="Compact"/>
              <w:spacing w:after="40"/>
            </w:pPr>
            <w:r>
              <w:rPr>
                <w:sz w:val="18"/>
              </w:rPr>
              <w:t xml:space="preserve">demonstrates cloud-live extension potential</w:t>
            </w:r>
          </w:p>
        </w:tc>
      </w:tr>
      <w:tr>
        <w:tc>
          <w:tcPr>
            <w:vAlign w:val="center"/>
            <w:tcMar>
              <w:top w:w="120" w:type="dxa"/>
              <w:bottom w:w="120" w:type="dxa"/>
              <w:left w:w="150" w:type="dxa"/>
              <w:right w:w="150" w:type="dxa"/>
            </w:tcMar>
          </w:tcPr>
          <w:p>
            <w:pPr>
              <w:pStyle w:val="Compact"/>
              <w:spacing w:after="40"/>
            </w:pPr>
            <w:r>
              <w:rPr>
                <w:sz w:val="18"/>
              </w:rPr>
              <w:t xml:space="preserve">Accessibility buffer</w:t>
            </w:r>
          </w:p>
        </w:tc>
        <w:tc>
          <w:tcPr>
            <w:vAlign w:val="center"/>
            <w:tcMar>
              <w:top w:w="120" w:type="dxa"/>
              <w:bottom w:w="120" w:type="dxa"/>
              <w:left w:w="150" w:type="dxa"/>
              <w:right w:w="150" w:type="dxa"/>
            </w:tcMar>
          </w:tcPr>
          <w:p>
            <w:pPr>
              <w:pStyle w:val="Compact"/>
              <w:spacing w:after="40"/>
            </w:pPr>
            <w:r>
              <w:rPr>
                <w:sz w:val="18"/>
              </w:rPr>
              <w:t xml:space="preserve">rough selected-district service area</w:t>
            </w:r>
          </w:p>
        </w:tc>
        <w:tc>
          <w:tcPr>
            <w:vAlign w:val="center"/>
            <w:tcMar>
              <w:top w:w="120" w:type="dxa"/>
              <w:bottom w:w="120" w:type="dxa"/>
              <w:left w:w="150" w:type="dxa"/>
              <w:right w:w="150" w:type="dxa"/>
            </w:tcMar>
          </w:tcPr>
          <w:p>
            <w:pPr>
              <w:pStyle w:val="Compact"/>
              <w:spacing w:after="40"/>
            </w:pPr>
            <w:r>
              <w:rPr>
                <w:sz w:val="18"/>
              </w:rPr>
              <w:t xml:space="preserve">makes the score formula visible</w:t>
            </w:r>
          </w:p>
        </w:tc>
      </w:tr>
    </w:tbl>
    <w:p>
      <w:pPr>
        <w:pStyle w:val="CaptionedFigure"/>
        <w:spacing w:before="60" w:after="100"/>
        <w:jc w:val="center"/>
      </w:pPr>
      <w:r>
        <w:drawing>
          <wp:inline>
            <wp:extent cx="5334000" cy="600757"/>
            <wp:effectExtent b="0" l="0" r="0" t="0"/>
            <wp:docPr descr="District selector screenshot" title="" id="62" name="Picture"/>
            <a:graphic>
              <a:graphicData uri="http://schemas.openxmlformats.org/drawingml/2006/picture">
                <pic:pic>
                  <pic:nvPicPr>
                    <pic:cNvPr descr="docs/assets/rebuild-guide/district-selector.png" id="63" name="Picture"/>
                    <pic:cNvPicPr>
                      <a:picLocks noChangeArrowheads="1" noChangeAspect="1"/>
                    </pic:cNvPicPr>
                  </pic:nvPicPr>
                  <pic:blipFill>
                    <a:blip r:embed="rId61"/>
                    <a:stretch>
                      <a:fillRect/>
                    </a:stretch>
                  </pic:blipFill>
                  <pic:spPr bwMode="auto">
                    <a:xfrm>
                      <a:off x="0" y="0"/>
                      <a:ext cx="5334000" cy="600757"/>
                    </a:xfrm>
                    <a:prstGeom prst="rect">
                      <a:avLst/>
                    </a:prstGeom>
                    <a:noFill/>
                    <a:ln w="9525">
                      <a:noFill/>
                      <a:headEnd/>
                      <a:tailEnd/>
                    </a:ln>
                  </pic:spPr>
                </pic:pic>
              </a:graphicData>
            </a:graphic>
          </wp:inline>
        </w:drawing>
      </w:r>
    </w:p>
    <w:p>
      <w:pPr>
        <w:pStyle w:val="ImageCaption"/>
      </w:pPr>
      <w:r>
        <w:t xml:space="preserve">District selector screenshot</w:t>
      </w:r>
    </w:p>
    <w:p>
      <w:pPr>
        <w:pStyle w:val="BodyText"/>
      </w:pPr>
      <w:r>
        <w:t xml:space="preserve">The score panel translates raw counts into a judge-friendly story:</w:t>
      </w:r>
    </w:p>
    <w:p>
      <w:pPr>
        <w:pStyle w:val="Compact"/>
        <w:numPr>
          <w:ilvl w:val="0"/>
          <w:numId w:val="1003"/>
        </w:numPr>
      </w:pPr>
      <w:r>
        <w:t xml:space="preserve">selected district name</w:t>
      </w:r>
    </w:p>
    <w:p>
      <w:pPr>
        <w:pStyle w:val="Compact"/>
        <w:numPr>
          <w:ilvl w:val="0"/>
          <w:numId w:val="1003"/>
        </w:numPr>
      </w:pPr>
      <w:r>
        <w:t xml:space="preserve">score number</w:t>
      </w:r>
    </w:p>
    <w:p>
      <w:pPr>
        <w:pStyle w:val="Compact"/>
        <w:numPr>
          <w:ilvl w:val="0"/>
          <w:numId w:val="1003"/>
        </w:numPr>
      </w:pPr>
      <w:r>
        <w:t xml:space="preserve">rating</w:t>
      </w:r>
    </w:p>
    <w:p>
      <w:pPr>
        <w:pStyle w:val="Compact"/>
        <w:numPr>
          <w:ilvl w:val="0"/>
          <w:numId w:val="1003"/>
        </w:numPr>
      </w:pPr>
      <w:r>
        <w:t xml:space="preserve">nearby metro count</w:t>
      </w:r>
    </w:p>
    <w:p>
      <w:pPr>
        <w:pStyle w:val="Compact"/>
        <w:numPr>
          <w:ilvl w:val="0"/>
          <w:numId w:val="1003"/>
        </w:numPr>
      </w:pPr>
      <w:r>
        <w:t xml:space="preserve">nearby bus count</w:t>
      </w:r>
    </w:p>
    <w:p>
      <w:pPr>
        <w:pStyle w:val="Compact"/>
        <w:numPr>
          <w:ilvl w:val="0"/>
          <w:numId w:val="1003"/>
        </w:numPr>
      </w:pPr>
      <w:r>
        <w:t xml:space="preserve">live-event penalty</w:t>
      </w:r>
    </w:p>
    <w:p>
      <w:pPr>
        <w:pStyle w:val="Compact"/>
        <w:numPr>
          <w:ilvl w:val="0"/>
          <w:numId w:val="1003"/>
        </w:numPr>
      </w:pPr>
      <w:r>
        <w:t xml:space="preserve">readable formula</w:t>
      </w:r>
    </w:p>
    <w:p>
      <w:pPr>
        <w:pStyle w:val="Compact"/>
        <w:numPr>
          <w:ilvl w:val="0"/>
          <w:numId w:val="1003"/>
        </w:numPr>
      </w:pPr>
      <w:r>
        <w:t xml:space="preserve">active data source context</w:t>
      </w:r>
    </w:p>
    <w:p>
      <w:pPr>
        <w:pStyle w:val="CaptionedFigure"/>
        <w:spacing w:before="60" w:after="100"/>
        <w:jc w:val="center"/>
      </w:pPr>
      <w:r>
        <w:drawing>
          <wp:inline>
            <wp:extent cx="5334000" cy="4533900"/>
            <wp:effectExtent b="0" l="0" r="0" t="0"/>
            <wp:docPr descr="District score panel screenshot" title="" id="65" name="Picture"/>
            <a:graphic>
              <a:graphicData uri="http://schemas.openxmlformats.org/drawingml/2006/picture">
                <pic:pic>
                  <pic:nvPicPr>
                    <pic:cNvPr descr="docs/assets/rebuild-guide/district-score-panel.png" id="66" name="Picture"/>
                    <pic:cNvPicPr>
                      <a:picLocks noChangeArrowheads="1" noChangeAspect="1"/>
                    </pic:cNvPicPr>
                  </pic:nvPicPr>
                  <pic:blipFill>
                    <a:blip r:embed="rId64"/>
                    <a:stretch>
                      <a:fillRect/>
                    </a:stretch>
                  </pic:blipFill>
                  <pic:spPr bwMode="auto">
                    <a:xfrm>
                      <a:off x="0" y="0"/>
                      <a:ext cx="5334000" cy="4533900"/>
                    </a:xfrm>
                    <a:prstGeom prst="rect">
                      <a:avLst/>
                    </a:prstGeom>
                    <a:noFill/>
                    <a:ln w="9525">
                      <a:noFill/>
                      <a:headEnd/>
                      <a:tailEnd/>
                    </a:ln>
                  </pic:spPr>
                </pic:pic>
              </a:graphicData>
            </a:graphic>
          </wp:inline>
        </w:drawing>
      </w:r>
    </w:p>
    <w:p>
      <w:pPr>
        <w:pStyle w:val="ImageCaption"/>
      </w:pPr>
      <w:r>
        <w:t xml:space="preserve">District score panel screenshot</w:t>
      </w:r>
    </w:p>
    <w:p>
      <w:pPr>
        <w:pStyle w:val="BodyText"/>
        <w:jc w:val="center"/>
      </w:pPr>
      <w:r>
        <w:rPr>
          <w:i/>
          <w:iCs/>
          <w:color w:val="566982"/>
          <w:sz w:val="18"/>
        </w:rPr>
        <w:t xml:space="preserve">Figure: district score panel after selecting a Riyadh district.</w:t>
      </w:r>
    </w:p>
    <w:p>
      <w:pPr>
        <w:pStyle w:val="BodyText"/>
        <w:spacing w:before="60" w:after="100"/>
        <w:jc w:val="center"/>
      </w:pPr>
      <w:r>
        <w:drawing>
          <wp:inline>
            <wp:extent cx="6748272" cy="8732520"/>
            <wp:effectExtent b="0" l="0" r="0" t="0"/>
            <wp:docPr descr="" title="" id="68" name="Picture"/>
            <a:graphic>
              <a:graphicData uri="http://schemas.openxmlformats.org/drawingml/2006/picture">
                <pic:pic>
                  <pic:nvPicPr>
                    <pic:cNvPr descr="docs/assets/rebuild-guide/premium-cloud-deployment-blueprint.png" id="69" name="Picture"/>
                    <pic:cNvPicPr>
                      <a:picLocks noChangeArrowheads="1" noChangeAspect="1"/>
                    </pic:cNvPicPr>
                  </pic:nvPicPr>
                  <pic:blipFill>
                    <a:blip r:embed="rId67"/>
                    <a:stretch>
                      <a:fillRect/>
                    </a:stretch>
                  </pic:blipFill>
                  <pic:spPr bwMode="auto">
                    <a:xfrm>
                      <a:off x="0" y="0"/>
                      <a:ext cx="6748272" cy="8732520"/>
                    </a:xfrm>
                    <a:prstGeom prst="rect">
                      <a:avLst/>
                    </a:prstGeom>
                    <a:noFill/>
                    <a:ln w="9525">
                      <a:noFill/>
                      <a:headEnd/>
                      <a:tailEnd/>
                    </a:ln>
                  </pic:spPr>
                </pic:pic>
              </a:graphicData>
            </a:graphic>
          </wp:inline>
        </w:drawing>
      </w:r>
    </w:p>
    <w:bookmarkEnd w:id="70"/>
    <w:bookmarkStart w:id="76" w:name="cloud-live-deployment"/>
    <w:p>
      <w:pPr>
        <w:pStyle w:val="Heading1"/>
        <w:jc w:val="left"/>
      </w:pPr>
      <w:r>
        <w:t xml:space="preserve">8. Cloud-Live Deployment</w:t>
      </w:r>
    </w:p>
    <w:p>
      <w:pPr>
        <w:pStyle w:val="FirstParagraph"/>
      </w:pPr>
      <w:r>
        <w:t xml:space="preserve">The cloud-live path is the deployable version of the same starter kit. It is useful when a team needs to show that the app can move beyond a laptop and into a credible Azure environment.</w:t>
      </w:r>
    </w:p>
    <w:bookmarkStart w:id="71" w:name="prerequisites"/>
    <w:p>
      <w:pPr>
        <w:pStyle w:val="Heading2"/>
        <w:jc w:val="left"/>
      </w:pPr>
      <w:r>
        <w:t xml:space="preserve">Prerequisites</w:t>
      </w:r>
    </w:p>
    <w:p>
      <w:pPr>
        <w:pStyle w:val="FirstParagraph"/>
      </w:pPr>
      <w:r>
        <w:t xml:space="preserve">Before deploying, confirm:</w:t>
      </w:r>
    </w:p>
    <w:p>
      <w:pPr>
        <w:pStyle w:val="Compact"/>
        <w:numPr>
          <w:ilvl w:val="0"/>
          <w:numId w:val="1004"/>
        </w:numPr>
      </w:pPr>
      <w:r>
        <w:t xml:space="preserve">Azure account is available.</w:t>
      </w:r>
    </w:p>
    <w:p>
      <w:pPr>
        <w:pStyle w:val="Compact"/>
        <w:numPr>
          <w:ilvl w:val="0"/>
          <w:numId w:val="1004"/>
        </w:numPr>
      </w:pPr>
      <w:r>
        <w:t xml:space="preserve">Azure CLI is installed.</w:t>
      </w:r>
    </w:p>
    <w:p>
      <w:pPr>
        <w:pStyle w:val="Compact"/>
        <w:numPr>
          <w:ilvl w:val="0"/>
          <w:numId w:val="1004"/>
        </w:numPr>
      </w:pPr>
      <w:r>
        <w:t xml:space="preserve">Azure Developer CLI is installed.</w:t>
      </w:r>
    </w:p>
    <w:p>
      <w:pPr>
        <w:pStyle w:val="Compact"/>
        <w:numPr>
          <w:ilvl w:val="0"/>
          <w:numId w:val="1004"/>
        </w:numPr>
      </w:pPr>
      <w:r>
        <w:t xml:space="preserve">Shell is authenticated to the right Azure tenant and subscription.</w:t>
      </w:r>
    </w:p>
    <w:p>
      <w:pPr>
        <w:pStyle w:val="Compact"/>
        <w:numPr>
          <w:ilvl w:val="0"/>
          <w:numId w:val="1004"/>
        </w:numPr>
      </w:pPr>
      <w:r>
        <w:t xml:space="preserve">Target location and resource group are known.</w:t>
      </w:r>
    </w:p>
    <w:p>
      <w:pPr>
        <w:pStyle w:val="Compact"/>
        <w:numPr>
          <w:ilvl w:val="0"/>
          <w:numId w:val="1004"/>
        </w:numPr>
      </w:pPr>
      <w:r>
        <w:t xml:space="preserve">Local app and tests already pass.</w:t>
      </w:r>
    </w:p>
    <w:p>
      <w:pPr>
        <w:pStyle w:val="FirstParagraph"/>
      </w:pPr>
      <w:r>
        <w:t xml:space="preserve">Sign in:</w:t>
      </w:r>
    </w:p>
    <w:p>
      <w:pPr>
        <w:pStyle w:val="SourceCode"/>
      </w:pPr>
      <w:r>
        <w:rPr>
          <w:rStyle w:val="ExtensionTok"/>
        </w:rPr>
        <w:t xml:space="preserve">az</w:t>
      </w:r>
      <w:r>
        <w:rPr>
          <w:rStyle w:val="NormalTok"/>
        </w:rPr>
        <w:t xml:space="preserve"> login</w:t>
      </w:r>
      <w:r>
        <w:br/>
      </w:r>
      <w:r>
        <w:rPr>
          <w:rStyle w:val="ExtensionTok"/>
        </w:rPr>
        <w:t xml:space="preserve">azd</w:t>
      </w:r>
      <w:r>
        <w:rPr>
          <w:rStyle w:val="NormalTok"/>
        </w:rPr>
        <w:t xml:space="preserve"> auth login</w:t>
      </w:r>
      <w:r>
        <w:br/>
      </w:r>
      <w:r>
        <w:rPr>
          <w:rStyle w:val="ExtensionTok"/>
        </w:rPr>
        <w:t xml:space="preserve">azd</w:t>
      </w:r>
      <w:r>
        <w:rPr>
          <w:rStyle w:val="NormalTok"/>
        </w:rPr>
        <w:t xml:space="preserve"> init</w:t>
      </w:r>
    </w:p>
    <w:p>
      <w:pPr>
        <w:pStyle w:val="FirstParagraph"/>
      </w:pPr>
      <w:r>
        <w:t xml:space="preserve">Deploy with the helper:</w:t>
      </w:r>
    </w:p>
    <w:p>
      <w:pPr>
        <w:pStyle w:val="SourceCode"/>
      </w:pPr>
      <w:r>
        <w:rPr>
          <w:rStyle w:val="FunctionTok"/>
        </w:rPr>
        <w:t xml:space="preserve">bash</w:t>
      </w:r>
      <w:r>
        <w:rPr>
          <w:rStyle w:val="NormalTok"/>
        </w:rPr>
        <w:t xml:space="preserve"> scripts/deploy_azure.sh</w:t>
      </w:r>
    </w:p>
    <w:p>
      <w:pPr>
        <w:pStyle w:val="FirstParagraph"/>
      </w:pPr>
      <w:r>
        <w:t xml:space="preserve">Optional location and resource group:</w:t>
      </w:r>
    </w:p>
    <w:p>
      <w:pPr>
        <w:pStyle w:val="SourceCode"/>
      </w:pPr>
      <w:r>
        <w:rPr>
          <w:rStyle w:val="FunctionTok"/>
        </w:rPr>
        <w:t xml:space="preserve">bash</w:t>
      </w:r>
      <w:r>
        <w:rPr>
          <w:rStyle w:val="NormalTok"/>
        </w:rPr>
        <w:t xml:space="preserve"> scripts/deploy_azure.sh eastus rg-riyadh-ud-eastus</w:t>
      </w:r>
    </w:p>
    <w:p>
      <w:pPr>
        <w:pStyle w:val="FirstParagraph"/>
      </w:pPr>
      <w:r>
        <w:t xml:space="preserve">The helper prints active environment values, then runs the Azure Developer CLI deployment workflow.</w:t>
      </w:r>
    </w:p>
    <w:bookmarkEnd w:id="71"/>
    <w:bookmarkStart w:id="75" w:name="what-deployment-creates"/>
    <w:p>
      <w:pPr>
        <w:pStyle w:val="Heading2"/>
        <w:jc w:val="left"/>
      </w:pPr>
      <w:r>
        <w:t xml:space="preserve">What Deployment Creates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Azure resource</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Role</w:t>
            </w:r>
          </w:p>
        </w:tc>
      </w:tr>
      <w:tr>
        <w:tc>
          <w:tcPr>
            <w:vAlign w:val="center"/>
            <w:tcMar>
              <w:top w:w="120" w:type="dxa"/>
              <w:bottom w:w="120" w:type="dxa"/>
              <w:left w:w="150" w:type="dxa"/>
              <w:right w:w="150" w:type="dxa"/>
            </w:tcMar>
          </w:tcPr>
          <w:p>
            <w:pPr>
              <w:pStyle w:val="Compact"/>
              <w:spacing w:after="40"/>
            </w:pPr>
            <w:r>
              <w:rPr>
                <w:sz w:val="18"/>
              </w:rPr>
              <w:t xml:space="preserve">Azure Container Apps</w:t>
            </w:r>
          </w:p>
        </w:tc>
        <w:tc>
          <w:tcPr>
            <w:vAlign w:val="center"/>
            <w:tcMar>
              <w:top w:w="120" w:type="dxa"/>
              <w:bottom w:w="120" w:type="dxa"/>
              <w:left w:w="150" w:type="dxa"/>
              <w:right w:w="150" w:type="dxa"/>
            </w:tcMar>
          </w:tcPr>
          <w:p>
            <w:pPr>
              <w:pStyle w:val="Compact"/>
              <w:spacing w:after="40"/>
            </w:pPr>
            <w:r>
              <w:rPr>
                <w:sz w:val="18"/>
              </w:rPr>
              <w:t xml:space="preserve">hosts FastAPI and the static frontend</w:t>
            </w:r>
          </w:p>
        </w:tc>
      </w:tr>
      <w:tr>
        <w:tc>
          <w:tcPr>
            <w:vAlign w:val="center"/>
            <w:tcMar>
              <w:top w:w="120" w:type="dxa"/>
              <w:bottom w:w="120" w:type="dxa"/>
              <w:left w:w="150" w:type="dxa"/>
              <w:right w:w="150" w:type="dxa"/>
            </w:tcMar>
          </w:tcPr>
          <w:p>
            <w:pPr>
              <w:pStyle w:val="Compact"/>
              <w:spacing w:after="40"/>
            </w:pPr>
            <w:r>
              <w:rPr>
                <w:sz w:val="18"/>
              </w:rPr>
              <w:t xml:space="preserve">Azure Container Registry</w:t>
            </w:r>
          </w:p>
        </w:tc>
        <w:tc>
          <w:tcPr>
            <w:vAlign w:val="center"/>
            <w:tcMar>
              <w:top w:w="120" w:type="dxa"/>
              <w:bottom w:w="120" w:type="dxa"/>
              <w:left w:w="150" w:type="dxa"/>
              <w:right w:w="150" w:type="dxa"/>
            </w:tcMar>
          </w:tcPr>
          <w:p>
            <w:pPr>
              <w:pStyle w:val="Compact"/>
              <w:spacing w:after="40"/>
            </w:pPr>
            <w:r>
              <w:rPr>
                <w:sz w:val="18"/>
              </w:rPr>
              <w:t xml:space="preserve">stores the built container image</w:t>
            </w:r>
          </w:p>
        </w:tc>
      </w:tr>
      <w:tr>
        <w:tc>
          <w:tcPr>
            <w:vAlign w:val="center"/>
            <w:tcMar>
              <w:top w:w="120" w:type="dxa"/>
              <w:bottom w:w="120" w:type="dxa"/>
              <w:left w:w="150" w:type="dxa"/>
              <w:right w:w="150" w:type="dxa"/>
            </w:tcMar>
          </w:tcPr>
          <w:p>
            <w:pPr>
              <w:pStyle w:val="Compact"/>
              <w:spacing w:after="40"/>
            </w:pPr>
            <w:r>
              <w:rPr>
                <w:sz w:val="18"/>
              </w:rPr>
              <w:t xml:space="preserve">Azure Maps account</w:t>
            </w:r>
          </w:p>
        </w:tc>
        <w:tc>
          <w:tcPr>
            <w:vAlign w:val="center"/>
            <w:tcMar>
              <w:top w:w="120" w:type="dxa"/>
              <w:bottom w:w="120" w:type="dxa"/>
              <w:left w:w="150" w:type="dxa"/>
              <w:right w:w="150" w:type="dxa"/>
            </w:tcMar>
          </w:tcPr>
          <w:p>
            <w:pPr>
              <w:pStyle w:val="Compact"/>
              <w:spacing w:after="40"/>
            </w:pPr>
            <w:r>
              <w:rPr>
                <w:sz w:val="18"/>
              </w:rPr>
              <w:t xml:space="preserve">supports cloud map services</w:t>
            </w:r>
          </w:p>
        </w:tc>
      </w:tr>
      <w:tr>
        <w:tc>
          <w:tcPr>
            <w:vAlign w:val="center"/>
            <w:tcMar>
              <w:top w:w="120" w:type="dxa"/>
              <w:bottom w:w="120" w:type="dxa"/>
              <w:left w:w="150" w:type="dxa"/>
              <w:right w:w="150" w:type="dxa"/>
            </w:tcMar>
          </w:tcPr>
          <w:p>
            <w:pPr>
              <w:pStyle w:val="Compact"/>
              <w:spacing w:after="40"/>
            </w:pPr>
            <w:r>
              <w:rPr>
                <w:sz w:val="18"/>
              </w:rPr>
              <w:t xml:space="preserve">Azure Blob Storage</w:t>
            </w:r>
          </w:p>
        </w:tc>
        <w:tc>
          <w:tcPr>
            <w:vAlign w:val="center"/>
            <w:tcMar>
              <w:top w:w="120" w:type="dxa"/>
              <w:bottom w:w="120" w:type="dxa"/>
              <w:left w:w="150" w:type="dxa"/>
              <w:right w:w="150" w:type="dxa"/>
            </w:tcMar>
          </w:tcPr>
          <w:p>
            <w:pPr>
              <w:pStyle w:val="Compact"/>
              <w:spacing w:after="40"/>
            </w:pPr>
            <w:r>
              <w:rPr>
                <w:sz w:val="18"/>
              </w:rPr>
              <w:t xml:space="preserve">stores raw and processed mobility files</w:t>
            </w:r>
          </w:p>
        </w:tc>
      </w:tr>
      <w:tr>
        <w:tc>
          <w:tcPr>
            <w:vAlign w:val="center"/>
            <w:tcMar>
              <w:top w:w="120" w:type="dxa"/>
              <w:bottom w:w="120" w:type="dxa"/>
              <w:left w:w="150" w:type="dxa"/>
              <w:right w:w="150" w:type="dxa"/>
            </w:tcMar>
          </w:tcPr>
          <w:p>
            <w:pPr>
              <w:pStyle w:val="Compact"/>
              <w:spacing w:after="40"/>
            </w:pPr>
            <w:r>
              <w:rPr>
                <w:sz w:val="18"/>
              </w:rPr>
              <w:t xml:space="preserve">Azure Cosmos DB</w:t>
            </w:r>
          </w:p>
        </w:tc>
        <w:tc>
          <w:tcPr>
            <w:vAlign w:val="center"/>
            <w:tcMar>
              <w:top w:w="120" w:type="dxa"/>
              <w:bottom w:w="120" w:type="dxa"/>
              <w:left w:w="150" w:type="dxa"/>
              <w:right w:w="150" w:type="dxa"/>
            </w:tcMar>
          </w:tcPr>
          <w:p>
            <w:pPr>
              <w:pStyle w:val="Compact"/>
              <w:spacing w:after="40"/>
            </w:pPr>
            <w:r>
              <w:rPr>
                <w:sz w:val="18"/>
              </w:rPr>
              <w:t xml:space="preserve">stores route, district, and event records</w:t>
            </w:r>
          </w:p>
        </w:tc>
      </w:tr>
      <w:tr>
        <w:tc>
          <w:tcPr>
            <w:vAlign w:val="center"/>
            <w:tcMar>
              <w:top w:w="120" w:type="dxa"/>
              <w:bottom w:w="120" w:type="dxa"/>
              <w:left w:w="150" w:type="dxa"/>
              <w:right w:w="150" w:type="dxa"/>
            </w:tcMar>
          </w:tcPr>
          <w:p>
            <w:pPr>
              <w:pStyle w:val="Compact"/>
              <w:spacing w:after="40"/>
            </w:pPr>
            <w:r>
              <w:rPr>
                <w:sz w:val="18"/>
              </w:rPr>
              <w:t xml:space="preserve">Application Insights</w:t>
            </w:r>
          </w:p>
        </w:tc>
        <w:tc>
          <w:tcPr>
            <w:vAlign w:val="center"/>
            <w:tcMar>
              <w:top w:w="120" w:type="dxa"/>
              <w:bottom w:w="120" w:type="dxa"/>
              <w:left w:w="150" w:type="dxa"/>
              <w:right w:w="150" w:type="dxa"/>
            </w:tcMar>
          </w:tcPr>
          <w:p>
            <w:pPr>
              <w:pStyle w:val="Compact"/>
              <w:spacing w:after="40"/>
            </w:pPr>
            <w:r>
              <w:rPr>
                <w:sz w:val="18"/>
              </w:rPr>
              <w:t xml:space="preserve">tracks health, latency, failures, and requests</w:t>
            </w:r>
          </w:p>
        </w:tc>
      </w:tr>
      <w:tr>
        <w:tc>
          <w:tcPr>
            <w:vAlign w:val="center"/>
            <w:tcMar>
              <w:top w:w="120" w:type="dxa"/>
              <w:bottom w:w="120" w:type="dxa"/>
              <w:left w:w="150" w:type="dxa"/>
              <w:right w:w="150" w:type="dxa"/>
            </w:tcMar>
          </w:tcPr>
          <w:p>
            <w:pPr>
              <w:pStyle w:val="Compact"/>
              <w:spacing w:after="40"/>
            </w:pPr>
            <w:r>
              <w:rPr>
                <w:sz w:val="18"/>
              </w:rPr>
              <w:t xml:space="preserve">Log Analytics</w:t>
            </w:r>
          </w:p>
        </w:tc>
        <w:tc>
          <w:tcPr>
            <w:vAlign w:val="center"/>
            <w:tcMar>
              <w:top w:w="120" w:type="dxa"/>
              <w:bottom w:w="120" w:type="dxa"/>
              <w:left w:w="150" w:type="dxa"/>
              <w:right w:w="150" w:type="dxa"/>
            </w:tcMar>
          </w:tcPr>
          <w:p>
            <w:pPr>
              <w:pStyle w:val="Compact"/>
              <w:spacing w:after="40"/>
            </w:pPr>
            <w:r>
              <w:rPr>
                <w:sz w:val="18"/>
              </w:rPr>
              <w:t xml:space="preserve">stores logs and diagnostics</w:t>
            </w:r>
          </w:p>
        </w:tc>
      </w:tr>
    </w:tbl>
    <w:p>
      <w:pPr>
        <w:pStyle w:val="BodyText"/>
      </w:pPr>
      <w:r>
        <w:t xml:space="preserve">After deployment:</w:t>
      </w:r>
    </w:p>
    <w:p>
      <w:pPr>
        <w:pStyle w:val="Compact"/>
        <w:numPr>
          <w:ilvl w:val="0"/>
          <w:numId w:val="1005"/>
        </w:numPr>
      </w:pPr>
      <w:r>
        <w:t xml:space="preserve">Copy</w:t>
      </w:r>
      <w:r>
        <w:t xml:space="preserve"> </w:t>
      </w:r>
      <w:r>
        <w:rPr>
          <w:rStyle w:val="VerbatimChar"/>
        </w:rPr>
        <w:t xml:space="preserve">WEB_APP_URL</w:t>
      </w:r>
      <w:r>
        <w:t xml:space="preserve"> </w:t>
      </w:r>
      <w:r>
        <w:t xml:space="preserve">from</w:t>
      </w:r>
      <w:r>
        <w:t xml:space="preserve"> </w:t>
      </w:r>
      <w:r>
        <w:rPr>
          <w:rStyle w:val="VerbatimChar"/>
        </w:rPr>
        <w:t xml:space="preserve">azd</w:t>
      </w:r>
      <w:r>
        <w:t xml:space="preserve"> </w:t>
      </w:r>
      <w:r>
        <w:t xml:space="preserve">output.</w:t>
      </w:r>
    </w:p>
    <w:p>
      <w:pPr>
        <w:pStyle w:val="Compact"/>
        <w:numPr>
          <w:ilvl w:val="0"/>
          <w:numId w:val="1005"/>
        </w:numPr>
      </w:pPr>
      <w:r>
        <w:t xml:space="preserve">Open the deployed app in a browser.</w:t>
      </w:r>
    </w:p>
    <w:p>
      <w:pPr>
        <w:pStyle w:val="Compact"/>
        <w:numPr>
          <w:ilvl w:val="0"/>
          <w:numId w:val="1005"/>
        </w:numPr>
      </w:pPr>
      <w:r>
        <w:t xml:space="preserve">Check</w:t>
      </w:r>
      <w:r>
        <w:t xml:space="preserve"> </w:t>
      </w:r>
      <w:r>
        <w:rPr>
          <w:rStyle w:val="VerbatimChar"/>
        </w:rPr>
        <w:t xml:space="preserve">&lt;WEB_APP_URL&gt;/health</w:t>
      </w:r>
      <w:r>
        <w:t xml:space="preserve">.</w:t>
      </w:r>
    </w:p>
    <w:p>
      <w:pPr>
        <w:pStyle w:val="Compact"/>
        <w:numPr>
          <w:ilvl w:val="0"/>
          <w:numId w:val="1005"/>
        </w:numPr>
      </w:pPr>
      <w:r>
        <w:t xml:space="preserve">Check</w:t>
      </w:r>
      <w:r>
        <w:t xml:space="preserve"> </w:t>
      </w:r>
      <w:r>
        <w:rPr>
          <w:rStyle w:val="VerbatimChar"/>
        </w:rPr>
        <w:t xml:space="preserve">&lt;WEB_APP_URL&gt;/api/data-status</w:t>
      </w:r>
      <w:r>
        <w:t xml:space="preserve">.</w:t>
      </w:r>
    </w:p>
    <w:p>
      <w:pPr>
        <w:pStyle w:val="Compact"/>
        <w:numPr>
          <w:ilvl w:val="0"/>
          <w:numId w:val="1005"/>
        </w:numPr>
      </w:pPr>
      <w:r>
        <w:t xml:space="preserve">Confirm the active data mode is expected.</w:t>
      </w:r>
    </w:p>
    <w:p>
      <w:pPr>
        <w:pStyle w:val="Compact"/>
        <w:numPr>
          <w:ilvl w:val="0"/>
          <w:numId w:val="1005"/>
        </w:numPr>
      </w:pPr>
      <w:r>
        <w:t xml:space="preserve">Upload processed files to Blob if using Blob mode.</w:t>
      </w:r>
    </w:p>
    <w:p>
      <w:pPr>
        <w:pStyle w:val="Compact"/>
        <w:numPr>
          <w:ilvl w:val="0"/>
          <w:numId w:val="1005"/>
        </w:numPr>
      </w:pPr>
      <w:r>
        <w:t xml:space="preserve">Seed Cosmos DB if using Cosmos mode.</w:t>
      </w:r>
    </w:p>
    <w:p>
      <w:pPr>
        <w:pStyle w:val="Compact"/>
        <w:numPr>
          <w:ilvl w:val="0"/>
          <w:numId w:val="1005"/>
        </w:numPr>
      </w:pPr>
      <w:r>
        <w:t xml:space="preserve">Inspect App Insights if the deployed app fails or loads slowly.</w:t>
      </w:r>
    </w:p>
    <w:p>
      <w:pPr>
        <w:pStyle w:val="FirstParagraph"/>
      </w:pPr>
      <w:r>
        <w:t xml:space="preserve">Optional cloud data steps:</w:t>
      </w:r>
    </w:p>
    <w:p>
      <w:pPr>
        <w:pStyle w:val="SourceCode"/>
      </w:pPr>
      <w:r>
        <w:rPr>
          <w:rStyle w:val="ExtensionTok"/>
        </w:rPr>
        <w:t xml:space="preserve">python3</w:t>
      </w:r>
      <w:r>
        <w:rPr>
          <w:rStyle w:val="NormalTok"/>
        </w:rPr>
        <w:t xml:space="preserve"> scripts/upload_to_blob.py</w:t>
      </w:r>
      <w:r>
        <w:br/>
      </w:r>
      <w:r>
        <w:rPr>
          <w:rStyle w:val="VariableTok"/>
        </w:rPr>
        <w:t xml:space="preserve">PYTHONPATH</w:t>
      </w:r>
      <w:r>
        <w:rPr>
          <w:rStyle w:val="OperatorTok"/>
        </w:rPr>
        <w:t xml:space="preserve">=</w:t>
      </w:r>
      <w:r>
        <w:rPr>
          <w:rStyle w:val="NormalTok"/>
        </w:rPr>
        <w:t xml:space="preserve">. </w:t>
      </w:r>
      <w:r>
        <w:rPr>
          <w:rStyle w:val="ExtensionTok"/>
        </w:rPr>
        <w:t xml:space="preserve">python3</w:t>
      </w:r>
      <w:r>
        <w:rPr>
          <w:rStyle w:val="NormalTok"/>
        </w:rPr>
        <w:t xml:space="preserve"> scripts/seed_cosmos.py</w:t>
      </w:r>
    </w:p>
    <w:p>
      <w:pPr>
        <w:pStyle w:val="FirstParagraph"/>
      </w:pPr>
      <w:r>
        <w:t xml:space="preserve">Teardown when finished:</w:t>
      </w:r>
    </w:p>
    <w:p>
      <w:pPr>
        <w:pStyle w:val="SourceCode"/>
      </w:pPr>
      <w:r>
        <w:rPr>
          <w:rStyle w:val="FunctionTok"/>
        </w:rPr>
        <w:t xml:space="preserve">bash</w:t>
      </w:r>
      <w:r>
        <w:rPr>
          <w:rStyle w:val="NormalTok"/>
        </w:rPr>
        <w:t xml:space="preserve"> scripts/destroy_resource_group.sh </w:t>
      </w:r>
      <w:r>
        <w:rPr>
          <w:rStyle w:val="AttributeTok"/>
        </w:rPr>
        <w:t xml:space="preserve">--yes</w:t>
      </w:r>
    </w:p>
    <w:p>
      <w:pPr>
        <w:pStyle w:val="FirstParagraph"/>
      </w:pPr>
      <w:r>
        <w:t xml:space="preserve">The teardown script deletes the current Azure resource group and intentionally requires</w:t>
      </w:r>
      <w:r>
        <w:t xml:space="preserve"> </w:t>
      </w:r>
      <w:r>
        <w:rPr>
          <w:rStyle w:val="VerbatimChar"/>
        </w:rPr>
        <w:t xml:space="preserve">--yes</w:t>
      </w:r>
      <w:r>
        <w:t xml:space="preserve">.</w:t>
      </w:r>
    </w:p>
    <w:p>
      <w:pPr>
        <w:pStyle w:val="BodyText"/>
        <w:spacing w:before="60" w:after="100"/>
        <w:jc w:val="center"/>
      </w:pPr>
      <w:r>
        <w:drawing>
          <wp:inline>
            <wp:extent cx="6748272" cy="8732520"/>
            <wp:effectExtent b="0" l="0" r="0" t="0"/>
            <wp:docPr descr="" title="" id="73" name="Picture"/>
            <a:graphic>
              <a:graphicData uri="http://schemas.openxmlformats.org/drawingml/2006/picture">
                <pic:pic>
                  <pic:nvPicPr>
                    <pic:cNvPr descr="docs/assets/rebuild-guide/premium-track-adaptation-routes.png" id="74" name="Picture"/>
                    <pic:cNvPicPr>
                      <a:picLocks noChangeArrowheads="1" noChangeAspect="1"/>
                    </pic:cNvPicPr>
                  </pic:nvPicPr>
                  <pic:blipFill>
                    <a:blip r:embed="rId72"/>
                    <a:stretch>
                      <a:fillRect/>
                    </a:stretch>
                  </pic:blipFill>
                  <pic:spPr bwMode="auto">
                    <a:xfrm>
                      <a:off x="0" y="0"/>
                      <a:ext cx="6748272" cy="8732520"/>
                    </a:xfrm>
                    <a:prstGeom prst="rect">
                      <a:avLst/>
                    </a:prstGeom>
                    <a:noFill/>
                    <a:ln w="9525">
                      <a:noFill/>
                      <a:headEnd/>
                      <a:tailEnd/>
                    </a:ln>
                  </pic:spPr>
                </pic:pic>
              </a:graphicData>
            </a:graphic>
          </wp:inline>
        </w:drawing>
      </w:r>
    </w:p>
    <w:bookmarkEnd w:id="75"/>
    <w:bookmarkEnd w:id="76"/>
    <w:bookmarkStart w:id="81" w:name="starter-kit-adaptation-routes"/>
    <w:p>
      <w:pPr>
        <w:pStyle w:val="Heading1"/>
        <w:jc w:val="left"/>
      </w:pPr>
      <w:r>
        <w:t xml:space="preserve">9. Starter Kit Adaptation Routes</w:t>
      </w:r>
    </w:p>
    <w:p>
      <w:pPr>
        <w:pStyle w:val="FirstParagraph"/>
      </w:pPr>
      <w:r>
        <w:t xml:space="preserve">Treat this codebase as a scaffold. Teams should keep the working shell, replace the domain data, and adapt the score or map layers toward the track they are pursuing.</w:t>
      </w:r>
    </w:p>
    <w:bookmarkStart w:id="77" w:name="route-1-mobility-command-view"/>
    <w:p>
      <w:pPr>
        <w:pStyle w:val="Heading2"/>
        <w:jc w:val="left"/>
      </w:pPr>
      <w:r>
        <w:t xml:space="preserve">Route 1: Mobility Command View</w:t>
      </w:r>
    </w:p>
    <w:p>
      <w:pPr>
        <w:pStyle w:val="FirstParagraph"/>
      </w:pPr>
      <w:r>
        <w:t xml:space="preserve">Best fit: Transformational Technology.</w:t>
      </w:r>
    </w:p>
    <w:p>
      <w:pPr>
        <w:pStyle w:val="BodyText"/>
      </w:pPr>
      <w:r>
        <w:t xml:space="preserve">Keep:</w:t>
      </w:r>
    </w:p>
    <w:p>
      <w:pPr>
        <w:pStyle w:val="Compact"/>
        <w:numPr>
          <w:ilvl w:val="0"/>
          <w:numId w:val="1006"/>
        </w:numPr>
      </w:pPr>
      <w:r>
        <w:t xml:space="preserve">route layers</w:t>
      </w:r>
    </w:p>
    <w:p>
      <w:pPr>
        <w:pStyle w:val="Compact"/>
        <w:numPr>
          <w:ilvl w:val="0"/>
          <w:numId w:val="1006"/>
        </w:numPr>
      </w:pPr>
      <w:r>
        <w:t xml:space="preserve">event overlay</w:t>
      </w:r>
    </w:p>
    <w:p>
      <w:pPr>
        <w:pStyle w:val="Compact"/>
        <w:numPr>
          <w:ilvl w:val="0"/>
          <w:numId w:val="1006"/>
        </w:numPr>
      </w:pPr>
      <w:r>
        <w:t xml:space="preserve">district selector</w:t>
      </w:r>
    </w:p>
    <w:p>
      <w:pPr>
        <w:pStyle w:val="Compact"/>
        <w:numPr>
          <w:ilvl w:val="0"/>
          <w:numId w:val="1006"/>
        </w:numPr>
      </w:pPr>
      <w:r>
        <w:t xml:space="preserve">route KPIs</w:t>
      </w:r>
    </w:p>
    <w:p>
      <w:pPr>
        <w:pStyle w:val="Compact"/>
        <w:numPr>
          <w:ilvl w:val="0"/>
          <w:numId w:val="1006"/>
        </w:numPr>
      </w:pPr>
      <w:r>
        <w:t xml:space="preserve">data-status debugging</w:t>
      </w:r>
    </w:p>
    <w:p>
      <w:pPr>
        <w:pStyle w:val="FirstParagraph"/>
      </w:pPr>
      <w:r>
        <w:t xml:space="preserve">Replace or add:</w:t>
      </w:r>
    </w:p>
    <w:p>
      <w:pPr>
        <w:pStyle w:val="Compact"/>
        <w:numPr>
          <w:ilvl w:val="0"/>
          <w:numId w:val="1007"/>
        </w:numPr>
      </w:pPr>
      <w:r>
        <w:t xml:space="preserve">real congestion or delay source</w:t>
      </w:r>
    </w:p>
    <w:p>
      <w:pPr>
        <w:pStyle w:val="Compact"/>
        <w:numPr>
          <w:ilvl w:val="0"/>
          <w:numId w:val="1007"/>
        </w:numPr>
      </w:pPr>
      <w:r>
        <w:t xml:space="preserve">parking demand layer</w:t>
      </w:r>
    </w:p>
    <w:p>
      <w:pPr>
        <w:pStyle w:val="Compact"/>
        <w:numPr>
          <w:ilvl w:val="0"/>
          <w:numId w:val="1007"/>
        </w:numPr>
      </w:pPr>
      <w:r>
        <w:t xml:space="preserve">peak-load simulation</w:t>
      </w:r>
    </w:p>
    <w:p>
      <w:pPr>
        <w:pStyle w:val="Compact"/>
        <w:numPr>
          <w:ilvl w:val="0"/>
          <w:numId w:val="1007"/>
        </w:numPr>
      </w:pPr>
      <w:r>
        <w:t xml:space="preserve">route delay explanations</w:t>
      </w:r>
    </w:p>
    <w:p>
      <w:pPr>
        <w:pStyle w:val="FirstParagraph"/>
      </w:pPr>
      <w:r>
        <w:t xml:space="preserve">Likely Azure services: Azure Maps, Container Apps, Event Hubs, Stream Analytics, Cosmos DB, Application Insights.</w:t>
      </w:r>
    </w:p>
    <w:bookmarkEnd w:id="77"/>
    <w:bookmarkStart w:id="78" w:name="route-2-district-intelligence"/>
    <w:p>
      <w:pPr>
        <w:pStyle w:val="Heading2"/>
        <w:jc w:val="left"/>
      </w:pPr>
      <w:r>
        <w:t xml:space="preserve">Route 2: District Intelligence</w:t>
      </w:r>
    </w:p>
    <w:p>
      <w:pPr>
        <w:pStyle w:val="FirstParagraph"/>
      </w:pPr>
      <w:r>
        <w:t xml:space="preserve">Best fit: Prosperous People.</w:t>
      </w:r>
    </w:p>
    <w:p>
      <w:pPr>
        <w:pStyle w:val="BodyText"/>
      </w:pPr>
      <w:r>
        <w:t xml:space="preserve">Keep:</w:t>
      </w:r>
    </w:p>
    <w:p>
      <w:pPr>
        <w:pStyle w:val="Compact"/>
        <w:numPr>
          <w:ilvl w:val="0"/>
          <w:numId w:val="1008"/>
        </w:numPr>
      </w:pPr>
      <w:r>
        <w:t xml:space="preserve">district selector</w:t>
      </w:r>
    </w:p>
    <w:p>
      <w:pPr>
        <w:pStyle w:val="Compact"/>
        <w:numPr>
          <w:ilvl w:val="0"/>
          <w:numId w:val="1008"/>
        </w:numPr>
      </w:pPr>
      <w:r>
        <w:t xml:space="preserve">scoring panel</w:t>
      </w:r>
    </w:p>
    <w:p>
      <w:pPr>
        <w:pStyle w:val="Compact"/>
        <w:numPr>
          <w:ilvl w:val="0"/>
          <w:numId w:val="1008"/>
        </w:numPr>
      </w:pPr>
      <w:r>
        <w:t xml:space="preserve">map focus behavior</w:t>
      </w:r>
    </w:p>
    <w:p>
      <w:pPr>
        <w:pStyle w:val="Compact"/>
        <w:numPr>
          <w:ilvl w:val="0"/>
          <w:numId w:val="1008"/>
        </w:numPr>
      </w:pPr>
      <w:r>
        <w:t xml:space="preserve">Cosmos-ready district records</w:t>
      </w:r>
    </w:p>
    <w:p>
      <w:pPr>
        <w:pStyle w:val="FirstParagraph"/>
      </w:pPr>
      <w:r>
        <w:t xml:space="preserve">Replace or add:</w:t>
      </w:r>
    </w:p>
    <w:p>
      <w:pPr>
        <w:pStyle w:val="Compact"/>
        <w:numPr>
          <w:ilvl w:val="0"/>
          <w:numId w:val="1009"/>
        </w:numPr>
      </w:pPr>
      <w:r>
        <w:t xml:space="preserve">service access layers such as clinics, schools, parks, or transit stops</w:t>
      </w:r>
    </w:p>
    <w:p>
      <w:pPr>
        <w:pStyle w:val="Compact"/>
        <w:numPr>
          <w:ilvl w:val="0"/>
          <w:numId w:val="1009"/>
        </w:numPr>
      </w:pPr>
      <w:r>
        <w:t xml:space="preserve">15-minute city score</w:t>
      </w:r>
    </w:p>
    <w:p>
      <w:pPr>
        <w:pStyle w:val="Compact"/>
        <w:numPr>
          <w:ilvl w:val="0"/>
          <w:numId w:val="1009"/>
        </w:numPr>
      </w:pPr>
      <w:r>
        <w:t xml:space="preserve">walkability indicators</w:t>
      </w:r>
    </w:p>
    <w:p>
      <w:pPr>
        <w:pStyle w:val="Compact"/>
        <w:numPr>
          <w:ilvl w:val="0"/>
          <w:numId w:val="1009"/>
        </w:numPr>
      </w:pPr>
      <w:r>
        <w:t xml:space="preserve">district comparison panel</w:t>
      </w:r>
    </w:p>
    <w:p>
      <w:pPr>
        <w:pStyle w:val="FirstParagraph"/>
      </w:pPr>
      <w:r>
        <w:t xml:space="preserve">Likely Azure services: Azure Maps, Blob Storage, Cosmos DB, Container Apps, optional Azure OpenAI for plain-language score explanations.</w:t>
      </w:r>
    </w:p>
    <w:bookmarkEnd w:id="78"/>
    <w:bookmarkStart w:id="79" w:name="route-3-sustainable-mobility-overlay"/>
    <w:p>
      <w:pPr>
        <w:pStyle w:val="Heading2"/>
        <w:jc w:val="left"/>
      </w:pPr>
      <w:r>
        <w:t xml:space="preserve">Route 3: Sustainable Mobility Overlay</w:t>
      </w:r>
    </w:p>
    <w:p>
      <w:pPr>
        <w:pStyle w:val="FirstParagraph"/>
      </w:pPr>
      <w:r>
        <w:t xml:space="preserve">Best fit: Sustainable Solutions.</w:t>
      </w:r>
    </w:p>
    <w:p>
      <w:pPr>
        <w:pStyle w:val="BodyText"/>
      </w:pPr>
      <w:r>
        <w:t xml:space="preserve">Keep:</w:t>
      </w:r>
    </w:p>
    <w:p>
      <w:pPr>
        <w:pStyle w:val="Compact"/>
        <w:numPr>
          <w:ilvl w:val="0"/>
          <w:numId w:val="1010"/>
        </w:numPr>
      </w:pPr>
      <w:r>
        <w:t xml:space="preserve">mobility layers</w:t>
      </w:r>
    </w:p>
    <w:p>
      <w:pPr>
        <w:pStyle w:val="Compact"/>
        <w:numPr>
          <w:ilvl w:val="0"/>
          <w:numId w:val="1010"/>
        </w:numPr>
      </w:pPr>
      <w:r>
        <w:t xml:space="preserve">selected district context</w:t>
      </w:r>
    </w:p>
    <w:p>
      <w:pPr>
        <w:pStyle w:val="Compact"/>
        <w:numPr>
          <w:ilvl w:val="0"/>
          <w:numId w:val="1010"/>
        </w:numPr>
      </w:pPr>
      <w:r>
        <w:t xml:space="preserve">route scoring pattern</w:t>
      </w:r>
    </w:p>
    <w:p>
      <w:pPr>
        <w:pStyle w:val="Compact"/>
        <w:numPr>
          <w:ilvl w:val="0"/>
          <w:numId w:val="1010"/>
        </w:numPr>
      </w:pPr>
      <w:r>
        <w:t xml:space="preserve">fallback-aware sample files</w:t>
      </w:r>
    </w:p>
    <w:p>
      <w:pPr>
        <w:pStyle w:val="FirstParagraph"/>
      </w:pPr>
      <w:r>
        <w:t xml:space="preserve">Replace or add:</w:t>
      </w:r>
    </w:p>
    <w:p>
      <w:pPr>
        <w:pStyle w:val="Compact"/>
        <w:numPr>
          <w:ilvl w:val="0"/>
          <w:numId w:val="1011"/>
        </w:numPr>
      </w:pPr>
      <w:r>
        <w:t xml:space="preserve">AQI stations</w:t>
      </w:r>
    </w:p>
    <w:p>
      <w:pPr>
        <w:pStyle w:val="Compact"/>
        <w:numPr>
          <w:ilvl w:val="0"/>
          <w:numId w:val="1011"/>
        </w:numPr>
      </w:pPr>
      <w:r>
        <w:t xml:space="preserve">heat layer</w:t>
      </w:r>
    </w:p>
    <w:p>
      <w:pPr>
        <w:pStyle w:val="Compact"/>
        <w:numPr>
          <w:ilvl w:val="0"/>
          <w:numId w:val="1011"/>
        </w:numPr>
      </w:pPr>
      <w:r>
        <w:t xml:space="preserve">pollution hotspot markers</w:t>
      </w:r>
    </w:p>
    <w:p>
      <w:pPr>
        <w:pStyle w:val="Compact"/>
        <w:numPr>
          <w:ilvl w:val="0"/>
          <w:numId w:val="1011"/>
        </w:numPr>
      </w:pPr>
      <w:r>
        <w:t xml:space="preserve">clean corridor recommendations</w:t>
      </w:r>
    </w:p>
    <w:p>
      <w:pPr>
        <w:pStyle w:val="Compact"/>
        <w:numPr>
          <w:ilvl w:val="0"/>
          <w:numId w:val="1011"/>
        </w:numPr>
      </w:pPr>
      <w:r>
        <w:t xml:space="preserve">emissions or low-carbon route scoring</w:t>
      </w:r>
    </w:p>
    <w:p>
      <w:pPr>
        <w:pStyle w:val="FirstParagraph"/>
      </w:pPr>
      <w:r>
        <w:t xml:space="preserve">Likely Azure services: Azure Maps, Blob Storage, Cosmos DB, Power BI, Application Insights.</w:t>
      </w:r>
    </w:p>
    <w:bookmarkEnd w:id="79"/>
    <w:bookmarkStart w:id="80" w:name="route-4-culture-and-visitor-movement"/>
    <w:p>
      <w:pPr>
        <w:pStyle w:val="Heading2"/>
        <w:jc w:val="left"/>
      </w:pPr>
      <w:r>
        <w:t xml:space="preserve">Route 4: Culture and Visitor Movement</w:t>
      </w:r>
    </w:p>
    <w:p>
      <w:pPr>
        <w:pStyle w:val="FirstParagraph"/>
      </w:pPr>
      <w:r>
        <w:t xml:space="preserve">Best fit: Culture.</w:t>
      </w:r>
    </w:p>
    <w:p>
      <w:pPr>
        <w:pStyle w:val="BodyText"/>
      </w:pPr>
      <w:r>
        <w:t xml:space="preserve">Keep:</w:t>
      </w:r>
    </w:p>
    <w:p>
      <w:pPr>
        <w:pStyle w:val="Compact"/>
        <w:numPr>
          <w:ilvl w:val="0"/>
          <w:numId w:val="1012"/>
        </w:numPr>
      </w:pPr>
      <w:r>
        <w:t xml:space="preserve">map layer structure</w:t>
      </w:r>
    </w:p>
    <w:p>
      <w:pPr>
        <w:pStyle w:val="Compact"/>
        <w:numPr>
          <w:ilvl w:val="0"/>
          <w:numId w:val="1012"/>
        </w:numPr>
      </w:pPr>
      <w:r>
        <w:t xml:space="preserve">event markers</w:t>
      </w:r>
    </w:p>
    <w:p>
      <w:pPr>
        <w:pStyle w:val="Compact"/>
        <w:numPr>
          <w:ilvl w:val="0"/>
          <w:numId w:val="1012"/>
        </w:numPr>
      </w:pPr>
      <w:r>
        <w:t xml:space="preserve">route overlays</w:t>
      </w:r>
    </w:p>
    <w:p>
      <w:pPr>
        <w:pStyle w:val="Compact"/>
        <w:numPr>
          <w:ilvl w:val="0"/>
          <w:numId w:val="1012"/>
        </w:numPr>
      </w:pPr>
      <w:r>
        <w:t xml:space="preserve">selected place or district panel</w:t>
      </w:r>
    </w:p>
    <w:p>
      <w:pPr>
        <w:pStyle w:val="FirstParagraph"/>
      </w:pPr>
      <w:r>
        <w:t xml:space="preserve">Replace or add:</w:t>
      </w:r>
    </w:p>
    <w:p>
      <w:pPr>
        <w:pStyle w:val="Compact"/>
        <w:numPr>
          <w:ilvl w:val="0"/>
          <w:numId w:val="1013"/>
        </w:numPr>
      </w:pPr>
      <w:r>
        <w:t xml:space="preserve">heritage site markers</w:t>
      </w:r>
    </w:p>
    <w:p>
      <w:pPr>
        <w:pStyle w:val="Compact"/>
        <w:numPr>
          <w:ilvl w:val="0"/>
          <w:numId w:val="1013"/>
        </w:numPr>
      </w:pPr>
      <w:r>
        <w:t xml:space="preserve">crowd-sensitive route suggestions</w:t>
      </w:r>
    </w:p>
    <w:p>
      <w:pPr>
        <w:pStyle w:val="Compact"/>
        <w:numPr>
          <w:ilvl w:val="0"/>
          <w:numId w:val="1013"/>
        </w:numPr>
      </w:pPr>
      <w:r>
        <w:t xml:space="preserve">multilingual visitor notes</w:t>
      </w:r>
    </w:p>
    <w:p>
      <w:pPr>
        <w:pStyle w:val="Compact"/>
        <w:numPr>
          <w:ilvl w:val="0"/>
          <w:numId w:val="1013"/>
        </w:numPr>
      </w:pPr>
      <w:r>
        <w:t xml:space="preserve">event-day access planning</w:t>
      </w:r>
    </w:p>
    <w:p>
      <w:pPr>
        <w:pStyle w:val="FirstParagraph"/>
      </w:pPr>
      <w:r>
        <w:t xml:space="preserve">Likely Azure services: Azure Maps, Cosmos DB, Blob Storage, Container Apps, optional translation services.</w:t>
      </w:r>
    </w:p>
    <w:bookmarkEnd w:id="80"/>
    <w:bookmarkEnd w:id="81"/>
    <w:bookmarkStart w:id="82" w:name="demo-flow"/>
    <w:p>
      <w:pPr>
        <w:pStyle w:val="Heading1"/>
        <w:jc w:val="left"/>
      </w:pPr>
      <w:r>
        <w:t xml:space="preserve">10. Demo Flow</w:t>
      </w:r>
    </w:p>
    <w:p>
      <w:pPr>
        <w:pStyle w:val="FirstParagraph"/>
      </w:pPr>
      <w:r>
        <w:t xml:space="preserve">Use this short flow when presenting to mentors or judges.</w:t>
      </w:r>
    </w:p>
    <w:tbl>
      <w:tblPr>
        <w:tblStyle w:val="Table"/>
        <w:tblW w:type="pct" w:w="5000"/>
        <w:jc w:val="center"/>
        <w:tblLayout w:type="fixed"/>
        <w:tblLook w:firstRow="1" w:lastRow="0" w:firstColumn="0" w:lastColumn="0" w:noHBand="0" w:noVBand="0" w:val="0020"/>
      </w:tblPr>
      <w:tblGrid>
        <w:gridCol w:w="3168"/>
        <w:gridCol w:w="2376"/>
        <w:gridCol w:w="2376"/>
      </w:tblGrid>
      <w:tr>
        <w:trPr>
          <w:tblHeader w:val="on"/>
        </w:trPr>
        <w:tc>
          <w:tcPr>
            <w:vAlign w:val="center"/>
            <w:tcMar>
              <w:top w:w="120" w:type="dxa"/>
              <w:bottom w:w="120" w:type="dxa"/>
              <w:left w:w="150" w:type="dxa"/>
              <w:right w:w="150" w:type="dxa"/>
            </w:tcMar>
            <w:shd w:fill="DDF0FA"/>
          </w:tcPr>
          <w:p>
            <w:pPr>
              <w:pStyle w:val="Compact"/>
              <w:spacing w:after="40"/>
              <w:jc w:val="right"/>
            </w:pPr>
            <w:r>
              <w:rPr>
                <w:b/>
                <w:color w:val="092344"/>
                <w:sz w:val="18"/>
              </w:rPr>
              <w:t xml:space="preserve">Step</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Show</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Explain</w:t>
            </w:r>
          </w:p>
        </w:tc>
      </w:tr>
      <w:tr>
        <w:tc>
          <w:tcPr>
            <w:vAlign w:val="center"/>
            <w:tcMar>
              <w:top w:w="120" w:type="dxa"/>
              <w:bottom w:w="120" w:type="dxa"/>
              <w:left w:w="150" w:type="dxa"/>
              <w:right w:w="150" w:type="dxa"/>
            </w:tcMar>
          </w:tcPr>
          <w:p>
            <w:pPr>
              <w:pStyle w:val="Compact"/>
              <w:spacing w:after="40"/>
              <w:jc w:val="right"/>
            </w:pPr>
            <w:r>
              <w:rPr>
                <w:sz w:val="18"/>
              </w:rPr>
              <w:t xml:space="preserve">1</w:t>
            </w:r>
          </w:p>
        </w:tc>
        <w:tc>
          <w:tcPr>
            <w:vAlign w:val="center"/>
            <w:tcMar>
              <w:top w:w="120" w:type="dxa"/>
              <w:bottom w:w="120" w:type="dxa"/>
              <w:left w:w="150" w:type="dxa"/>
              <w:right w:w="150" w:type="dxa"/>
            </w:tcMar>
          </w:tcPr>
          <w:p>
            <w:pPr>
              <w:pStyle w:val="Compact"/>
              <w:spacing w:after="40"/>
            </w:pPr>
            <w:r>
              <w:rPr>
                <w:sz w:val="18"/>
              </w:rPr>
              <w:t xml:space="preserve">Dashboard landing view</w:t>
            </w:r>
          </w:p>
        </w:tc>
        <w:tc>
          <w:tcPr>
            <w:vAlign w:val="center"/>
            <w:tcMar>
              <w:top w:w="120" w:type="dxa"/>
              <w:bottom w:w="120" w:type="dxa"/>
              <w:left w:w="150" w:type="dxa"/>
              <w:right w:w="150" w:type="dxa"/>
            </w:tcMar>
          </w:tcPr>
          <w:p>
            <w:pPr>
              <w:pStyle w:val="Compact"/>
              <w:spacing w:after="40"/>
            </w:pPr>
            <w:r>
              <w:rPr>
                <w:sz w:val="18"/>
              </w:rPr>
              <w:t xml:space="preserve">This is a Riyadh mobility intelligence starter kit, not just a static map</w:t>
            </w:r>
          </w:p>
        </w:tc>
      </w:tr>
      <w:tr>
        <w:tc>
          <w:tcPr>
            <w:vAlign w:val="center"/>
            <w:tcMar>
              <w:top w:w="120" w:type="dxa"/>
              <w:bottom w:w="120" w:type="dxa"/>
              <w:left w:w="150" w:type="dxa"/>
              <w:right w:w="150" w:type="dxa"/>
            </w:tcMar>
          </w:tcPr>
          <w:p>
            <w:pPr>
              <w:pStyle w:val="Compact"/>
              <w:spacing w:after="40"/>
              <w:jc w:val="right"/>
            </w:pPr>
            <w:r>
              <w:rPr>
                <w:sz w:val="18"/>
              </w:rPr>
              <w:t xml:space="preserve">2</w:t>
            </w:r>
          </w:p>
        </w:tc>
        <w:tc>
          <w:tcPr>
            <w:vAlign w:val="center"/>
            <w:tcMar>
              <w:top w:w="120" w:type="dxa"/>
              <w:bottom w:w="120" w:type="dxa"/>
              <w:left w:w="150" w:type="dxa"/>
              <w:right w:w="150" w:type="dxa"/>
            </w:tcMar>
          </w:tcPr>
          <w:p>
            <w:pPr>
              <w:pStyle w:val="Compact"/>
              <w:spacing w:after="40"/>
            </w:pPr>
            <w:r>
              <w:rPr>
                <w:sz w:val="18"/>
              </w:rPr>
              <w:t xml:space="preserve">Metro and bus toggles</w:t>
            </w:r>
          </w:p>
        </w:tc>
        <w:tc>
          <w:tcPr>
            <w:vAlign w:val="center"/>
            <w:tcMar>
              <w:top w:w="120" w:type="dxa"/>
              <w:bottom w:w="120" w:type="dxa"/>
              <w:left w:w="150" w:type="dxa"/>
              <w:right w:w="150" w:type="dxa"/>
            </w:tcMar>
          </w:tcPr>
          <w:p>
            <w:pPr>
              <w:pStyle w:val="Compact"/>
              <w:spacing w:after="40"/>
            </w:pPr>
            <w:r>
              <w:rPr>
                <w:sz w:val="18"/>
              </w:rPr>
              <w:t xml:space="preserve">The map layers show public transport coverage</w:t>
            </w:r>
          </w:p>
        </w:tc>
      </w:tr>
      <w:tr>
        <w:tc>
          <w:tcPr>
            <w:vAlign w:val="center"/>
            <w:tcMar>
              <w:top w:w="120" w:type="dxa"/>
              <w:bottom w:w="120" w:type="dxa"/>
              <w:left w:w="150" w:type="dxa"/>
              <w:right w:w="150" w:type="dxa"/>
            </w:tcMar>
          </w:tcPr>
          <w:p>
            <w:pPr>
              <w:pStyle w:val="Compact"/>
              <w:spacing w:after="40"/>
              <w:jc w:val="right"/>
            </w:pPr>
            <w:r>
              <w:rPr>
                <w:sz w:val="18"/>
              </w:rPr>
              <w:t xml:space="preserve">3</w:t>
            </w:r>
          </w:p>
        </w:tc>
        <w:tc>
          <w:tcPr>
            <w:vAlign w:val="center"/>
            <w:tcMar>
              <w:top w:w="120" w:type="dxa"/>
              <w:bottom w:w="120" w:type="dxa"/>
              <w:left w:w="150" w:type="dxa"/>
              <w:right w:w="150" w:type="dxa"/>
            </w:tcMar>
          </w:tcPr>
          <w:p>
            <w:pPr>
              <w:pStyle w:val="Compact"/>
              <w:spacing w:after="40"/>
            </w:pPr>
            <w:r>
              <w:rPr>
                <w:sz w:val="18"/>
              </w:rPr>
              <w:t xml:space="preserve">District selector</w:t>
            </w:r>
          </w:p>
        </w:tc>
        <w:tc>
          <w:tcPr>
            <w:vAlign w:val="center"/>
            <w:tcMar>
              <w:top w:w="120" w:type="dxa"/>
              <w:bottom w:w="120" w:type="dxa"/>
              <w:left w:w="150" w:type="dxa"/>
              <w:right w:w="150" w:type="dxa"/>
            </w:tcMar>
          </w:tcPr>
          <w:p>
            <w:pPr>
              <w:pStyle w:val="Compact"/>
              <w:spacing w:after="40"/>
            </w:pPr>
            <w:r>
              <w:rPr>
                <w:sz w:val="18"/>
              </w:rPr>
              <w:t xml:space="preserve">District context drives the scoring workflow</w:t>
            </w:r>
          </w:p>
        </w:tc>
      </w:tr>
      <w:tr>
        <w:tc>
          <w:tcPr>
            <w:vAlign w:val="center"/>
            <w:tcMar>
              <w:top w:w="120" w:type="dxa"/>
              <w:bottom w:w="120" w:type="dxa"/>
              <w:left w:w="150" w:type="dxa"/>
              <w:right w:w="150" w:type="dxa"/>
            </w:tcMar>
          </w:tcPr>
          <w:p>
            <w:pPr>
              <w:pStyle w:val="Compact"/>
              <w:spacing w:after="40"/>
              <w:jc w:val="right"/>
            </w:pPr>
            <w:r>
              <w:rPr>
                <w:sz w:val="18"/>
              </w:rPr>
              <w:t xml:space="preserve">4</w:t>
            </w:r>
          </w:p>
        </w:tc>
        <w:tc>
          <w:tcPr>
            <w:vAlign w:val="center"/>
            <w:tcMar>
              <w:top w:w="120" w:type="dxa"/>
              <w:bottom w:w="120" w:type="dxa"/>
              <w:left w:w="150" w:type="dxa"/>
              <w:right w:w="150" w:type="dxa"/>
            </w:tcMar>
          </w:tcPr>
          <w:p>
            <w:pPr>
              <w:pStyle w:val="Compact"/>
              <w:spacing w:after="40"/>
            </w:pPr>
            <w:r>
              <w:rPr>
                <w:sz w:val="18"/>
              </w:rPr>
              <w:t xml:space="preserve">Score panel</w:t>
            </w:r>
          </w:p>
        </w:tc>
        <w:tc>
          <w:tcPr>
            <w:vAlign w:val="center"/>
            <w:tcMar>
              <w:top w:w="120" w:type="dxa"/>
              <w:bottom w:w="120" w:type="dxa"/>
              <w:left w:w="150" w:type="dxa"/>
              <w:right w:w="150" w:type="dxa"/>
            </w:tcMar>
          </w:tcPr>
          <w:p>
            <w:pPr>
              <w:pStyle w:val="Compact"/>
              <w:spacing w:after="40"/>
            </w:pPr>
            <w:r>
              <w:rPr>
                <w:sz w:val="18"/>
              </w:rPr>
              <w:t xml:space="preserve">The score is transparent and easy to adapt</w:t>
            </w:r>
          </w:p>
        </w:tc>
      </w:tr>
      <w:tr>
        <w:tc>
          <w:tcPr>
            <w:vAlign w:val="center"/>
            <w:tcMar>
              <w:top w:w="120" w:type="dxa"/>
              <w:bottom w:w="120" w:type="dxa"/>
              <w:left w:w="150" w:type="dxa"/>
              <w:right w:w="150" w:type="dxa"/>
            </w:tcMar>
          </w:tcPr>
          <w:p>
            <w:pPr>
              <w:pStyle w:val="Compact"/>
              <w:spacing w:after="40"/>
              <w:jc w:val="right"/>
            </w:pPr>
            <w:r>
              <w:rPr>
                <w:sz w:val="18"/>
              </w:rPr>
              <w:t xml:space="preserve">5</w:t>
            </w:r>
          </w:p>
        </w:tc>
        <w:tc>
          <w:tcPr>
            <w:vAlign w:val="center"/>
            <w:tcMar>
              <w:top w:w="120" w:type="dxa"/>
              <w:bottom w:w="120" w:type="dxa"/>
              <w:left w:w="150" w:type="dxa"/>
              <w:right w:w="150" w:type="dxa"/>
            </w:tcMar>
          </w:tcPr>
          <w:p>
            <w:pPr>
              <w:pStyle w:val="Compact"/>
              <w:spacing w:after="40"/>
            </w:pPr>
            <w:r>
              <w:rPr>
                <w:rStyle w:val="VerbatimChar"/>
                <w:sz w:val="18"/>
              </w:rPr>
              <w:t xml:space="preserve">/api/data-status</w:t>
            </w:r>
          </w:p>
        </w:tc>
        <w:tc>
          <w:tcPr>
            <w:vAlign w:val="center"/>
            <w:tcMar>
              <w:top w:w="120" w:type="dxa"/>
              <w:bottom w:w="120" w:type="dxa"/>
              <w:left w:w="150" w:type="dxa"/>
              <w:right w:w="150" w:type="dxa"/>
            </w:tcMar>
          </w:tcPr>
          <w:p>
            <w:pPr>
              <w:pStyle w:val="Compact"/>
              <w:spacing w:after="40"/>
            </w:pPr>
            <w:r>
              <w:rPr>
                <w:sz w:val="18"/>
              </w:rPr>
              <w:t xml:space="preserve">The app is fallback-aware and cloud-live ready</w:t>
            </w:r>
          </w:p>
        </w:tc>
      </w:tr>
      <w:tr>
        <w:tc>
          <w:tcPr>
            <w:vAlign w:val="center"/>
            <w:tcMar>
              <w:top w:w="120" w:type="dxa"/>
              <w:bottom w:w="120" w:type="dxa"/>
              <w:left w:w="150" w:type="dxa"/>
              <w:right w:w="150" w:type="dxa"/>
            </w:tcMar>
          </w:tcPr>
          <w:p>
            <w:pPr>
              <w:pStyle w:val="Compact"/>
              <w:spacing w:after="40"/>
              <w:jc w:val="right"/>
            </w:pPr>
            <w:r>
              <w:rPr>
                <w:sz w:val="18"/>
              </w:rPr>
              <w:t xml:space="preserve">6</w:t>
            </w:r>
          </w:p>
        </w:tc>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sz w:val="18"/>
              </w:rPr>
              <w:t xml:space="preserve">Services map to hosting, maps, files, records, and monitoring</w:t>
            </w:r>
          </w:p>
        </w:tc>
      </w:tr>
      <w:tr>
        <w:tc>
          <w:tcPr>
            <w:vAlign w:val="center"/>
            <w:tcMar>
              <w:top w:w="120" w:type="dxa"/>
              <w:bottom w:w="120" w:type="dxa"/>
              <w:left w:w="150" w:type="dxa"/>
              <w:right w:w="150" w:type="dxa"/>
            </w:tcMar>
          </w:tcPr>
          <w:p>
            <w:pPr>
              <w:pStyle w:val="Compact"/>
              <w:spacing w:after="40"/>
              <w:jc w:val="right"/>
            </w:pPr>
            <w:r>
              <w:rPr>
                <w:sz w:val="18"/>
              </w:rPr>
              <w:t xml:space="preserve">7</w:t>
            </w:r>
          </w:p>
        </w:tc>
        <w:tc>
          <w:tcPr>
            <w:vAlign w:val="center"/>
            <w:tcMar>
              <w:top w:w="120" w:type="dxa"/>
              <w:bottom w:w="120" w:type="dxa"/>
              <w:left w:w="150" w:type="dxa"/>
              <w:right w:w="150" w:type="dxa"/>
            </w:tcMar>
          </w:tcPr>
          <w:p>
            <w:pPr>
              <w:pStyle w:val="Compact"/>
              <w:spacing w:after="40"/>
            </w:pPr>
            <w:r>
              <w:rPr>
                <w:sz w:val="18"/>
              </w:rPr>
              <w:t xml:space="preserve">Adaptation routes</w:t>
            </w:r>
          </w:p>
        </w:tc>
        <w:tc>
          <w:tcPr>
            <w:vAlign w:val="center"/>
            <w:tcMar>
              <w:top w:w="120" w:type="dxa"/>
              <w:bottom w:w="120" w:type="dxa"/>
              <w:left w:w="150" w:type="dxa"/>
              <w:right w:w="150" w:type="dxa"/>
            </w:tcMar>
          </w:tcPr>
          <w:p>
            <w:pPr>
              <w:pStyle w:val="Compact"/>
              <w:spacing w:after="40"/>
            </w:pPr>
            <w:r>
              <w:rPr>
                <w:sz w:val="18"/>
              </w:rPr>
              <w:t xml:space="preserve">The same scaffold supports multiple hackathon tracks</w:t>
            </w:r>
          </w:p>
        </w:tc>
      </w:tr>
    </w:tbl>
    <w:p>
      <w:pPr>
        <w:pStyle w:val="BodyText"/>
      </w:pPr>
      <w:r>
        <w:t xml:space="preserve">Keep the live demo local unless the deployed app has already passed</w:t>
      </w:r>
      <w:r>
        <w:t xml:space="preserve"> </w:t>
      </w:r>
      <w:r>
        <w:rPr>
          <w:rStyle w:val="VerbatimChar"/>
        </w:rPr>
        <w:t xml:space="preserve">/health</w:t>
      </w:r>
      <w:r>
        <w:t xml:space="preserve"> </w:t>
      </w:r>
      <w:r>
        <w:t xml:space="preserve">and</w:t>
      </w:r>
      <w:r>
        <w:t xml:space="preserve"> </w:t>
      </w:r>
      <w:r>
        <w:rPr>
          <w:rStyle w:val="VerbatimChar"/>
        </w:rPr>
        <w:t xml:space="preserve">/api/data-status</w:t>
      </w:r>
      <w:r>
        <w:t xml:space="preserve"> </w:t>
      </w:r>
      <w:r>
        <w:t xml:space="preserve">checks.</w:t>
      </w:r>
    </w:p>
    <w:bookmarkEnd w:id="82"/>
    <w:bookmarkStart w:id="96" w:name="appendix"/>
    <w:p>
      <w:pPr>
        <w:pStyle w:val="Heading1"/>
        <w:jc w:val="left"/>
      </w:pPr>
      <w:r>
        <w:t xml:space="preserve">Appendix</w:t>
      </w:r>
    </w:p>
    <w:bookmarkStart w:id="83" w:name="common-commands"/>
    <w:p>
      <w:pPr>
        <w:pStyle w:val="Heading2"/>
        <w:jc w:val="left"/>
      </w:pPr>
      <w:r>
        <w:t xml:space="preserve">Common Commands</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w:t>
      </w:r>
      <w:r>
        <w:br/>
      </w:r>
      <w:r>
        <w:rPr>
          <w:rStyle w:val="ExtensionTok"/>
        </w:rPr>
        <w:t xml:space="preserve">python</w:t>
      </w:r>
      <w:r>
        <w:rPr>
          <w:rStyle w:val="NormalTok"/>
        </w:rPr>
        <w:t xml:space="preserve"> </w:t>
      </w:r>
      <w:r>
        <w:rPr>
          <w:rStyle w:val="AttributeTok"/>
        </w:rPr>
        <w:t xml:space="preserve">-m</w:t>
      </w:r>
      <w:r>
        <w:rPr>
          <w:rStyle w:val="NormalTok"/>
        </w:rPr>
        <w:t xml:space="preserve"> uvicorn app.main:app </w:t>
      </w:r>
      <w:r>
        <w:rPr>
          <w:rStyle w:val="AttributeTok"/>
        </w:rPr>
        <w:t xml:space="preserve">--reload</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scripts/validate_data.py</w:t>
      </w:r>
      <w:r>
        <w:br/>
      </w:r>
      <w:r>
        <w:rPr>
          <w:rStyle w:val="FunctionTok"/>
        </w:rPr>
        <w:t xml:space="preserve">bash</w:t>
      </w:r>
      <w:r>
        <w:rPr>
          <w:rStyle w:val="NormalTok"/>
        </w:rPr>
        <w:t xml:space="preserve"> scripts/deploy_azure.sh</w:t>
      </w:r>
      <w:r>
        <w:br/>
      </w:r>
      <w:r>
        <w:rPr>
          <w:rStyle w:val="FunctionTok"/>
        </w:rPr>
        <w:t xml:space="preserve">bash</w:t>
      </w:r>
      <w:r>
        <w:rPr>
          <w:rStyle w:val="NormalTok"/>
        </w:rPr>
        <w:t xml:space="preserve"> scripts/destroy_resource_group.sh </w:t>
      </w:r>
      <w:r>
        <w:rPr>
          <w:rStyle w:val="AttributeTok"/>
        </w:rPr>
        <w:t xml:space="preserve">--yes</w:t>
      </w:r>
    </w:p>
    <w:bookmarkEnd w:id="83"/>
    <w:bookmarkStart w:id="84" w:name="debugging-checklist"/>
    <w:p>
      <w:pPr>
        <w:pStyle w:val="Heading2"/>
        <w:jc w:val="left"/>
      </w:pPr>
      <w:r>
        <w:t xml:space="preserve">Debugging Checklist</w:t>
      </w:r>
    </w:p>
    <w:p>
      <w:pPr>
        <w:pStyle w:val="Compact"/>
        <w:numPr>
          <w:ilvl w:val="0"/>
          <w:numId w:val="1014"/>
        </w:numPr>
      </w:pPr>
      <w:r>
        <w:t xml:space="preserve">If the page loads slowly, wait for the district selector, layer controls, map area, and score panel before judging success.</w:t>
      </w:r>
    </w:p>
    <w:p>
      <w:pPr>
        <w:pStyle w:val="Compact"/>
        <w:numPr>
          <w:ilvl w:val="0"/>
          <w:numId w:val="1014"/>
        </w:numPr>
      </w:pPr>
      <w:r>
        <w:t xml:space="preserve">If the map is blank, clear</w:t>
      </w:r>
      <w:r>
        <w:t xml:space="preserve"> </w:t>
      </w:r>
      <w:r>
        <w:rPr>
          <w:rStyle w:val="VerbatimChar"/>
        </w:rPr>
        <w:t xml:space="preserve">AZURE_MAPS_KEY</w:t>
      </w:r>
      <w:r>
        <w:t xml:space="preserve"> </w:t>
      </w:r>
      <w:r>
        <w:t xml:space="preserve">in</w:t>
      </w:r>
      <w:r>
        <w:t xml:space="preserve"> </w:t>
      </w:r>
      <w:r>
        <w:rPr>
          <w:rStyle w:val="VerbatimChar"/>
        </w:rPr>
        <w:t xml:space="preserve">.env</w:t>
      </w:r>
      <w:r>
        <w:t xml:space="preserve"> </w:t>
      </w:r>
      <w:r>
        <w:t xml:space="preserve">and reload so the local fallback can be used.</w:t>
      </w:r>
    </w:p>
    <w:p>
      <w:pPr>
        <w:pStyle w:val="Compact"/>
        <w:numPr>
          <w:ilvl w:val="0"/>
          <w:numId w:val="1014"/>
        </w:numPr>
      </w:pPr>
      <w:r>
        <w:t xml:space="preserve">If cloud data is missing, open</w:t>
      </w:r>
      <w:r>
        <w:t xml:space="preserve"> </w:t>
      </w:r>
      <w:r>
        <w:rPr>
          <w:rStyle w:val="VerbatimChar"/>
        </w:rPr>
        <w:t xml:space="preserve">/api/data-status</w:t>
      </w:r>
      <w:r>
        <w:t xml:space="preserve"> </w:t>
      </w:r>
      <w:r>
        <w:t xml:space="preserve">first.</w:t>
      </w:r>
    </w:p>
    <w:p>
      <w:pPr>
        <w:pStyle w:val="Compact"/>
        <w:numPr>
          <w:ilvl w:val="0"/>
          <w:numId w:val="1014"/>
        </w:numPr>
      </w:pPr>
      <w:r>
        <w:t xml:space="preserve">If sample files fail, run</w:t>
      </w:r>
      <w:r>
        <w:t xml:space="preserve"> </w:t>
      </w:r>
      <w:r>
        <w:rPr>
          <w:rStyle w:val="VerbatimChar"/>
        </w:rPr>
        <w:t xml:space="preserve">python scripts/validate_data.py</w:t>
      </w:r>
      <w:r>
        <w:t xml:space="preserve">.</w:t>
      </w:r>
    </w:p>
    <w:p>
      <w:pPr>
        <w:pStyle w:val="Compact"/>
        <w:numPr>
          <w:ilvl w:val="0"/>
          <w:numId w:val="1014"/>
        </w:numPr>
      </w:pPr>
      <w:r>
        <w:t xml:space="preserve">If the deployed app fails, check</w:t>
      </w:r>
      <w:r>
        <w:t xml:space="preserve"> </w:t>
      </w:r>
      <w:r>
        <w:rPr>
          <w:rStyle w:val="VerbatimChar"/>
        </w:rPr>
        <w:t xml:space="preserve">/health</w:t>
      </w:r>
      <w:r>
        <w:t xml:space="preserve">,</w:t>
      </w:r>
      <w:r>
        <w:t xml:space="preserve"> </w:t>
      </w:r>
      <w:r>
        <w:rPr>
          <w:rStyle w:val="VerbatimChar"/>
        </w:rPr>
        <w:t xml:space="preserve">/api/data-status</w:t>
      </w:r>
      <w:r>
        <w:t xml:space="preserve">, Container App logs, and Application Insights.</w:t>
      </w:r>
    </w:p>
    <w:bookmarkEnd w:id="84"/>
    <w:bookmarkStart w:id="85" w:name="visual-asset-checklist"/>
    <w:p>
      <w:pPr>
        <w:pStyle w:val="Heading2"/>
        <w:jc w:val="left"/>
      </w:pPr>
      <w:r>
        <w:t xml:space="preserve">Visual Asset Checklist</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Asset</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Included in this guide</w:t>
            </w:r>
          </w:p>
        </w:tc>
      </w:tr>
      <w:tr>
        <w:tc>
          <w:tcPr>
            <w:vAlign w:val="center"/>
            <w:tcMar>
              <w:top w:w="120" w:type="dxa"/>
              <w:bottom w:w="120" w:type="dxa"/>
              <w:left w:w="150" w:type="dxa"/>
              <w:right w:w="150" w:type="dxa"/>
            </w:tcMar>
          </w:tcPr>
          <w:p>
            <w:pPr>
              <w:pStyle w:val="Compact"/>
              <w:spacing w:after="40"/>
            </w:pPr>
            <w:r>
              <w:rPr>
                <w:sz w:val="18"/>
              </w:rPr>
              <w:t xml:space="preserve">app layer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docs/assets/rebuild-guide/icon-row-app-layers.png</w:t>
            </w:r>
          </w:p>
        </w:tc>
      </w:tr>
      <w:tr>
        <w:tc>
          <w:tcPr>
            <w:vAlign w:val="center"/>
            <w:tcMar>
              <w:top w:w="120" w:type="dxa"/>
              <w:bottom w:w="120" w:type="dxa"/>
              <w:left w:w="150" w:type="dxa"/>
              <w:right w:w="150" w:type="dxa"/>
            </w:tcMar>
          </w:tcPr>
          <w:p>
            <w:pPr>
              <w:pStyle w:val="Compact"/>
              <w:spacing w:after="40"/>
            </w:pPr>
            <w:r>
              <w:rPr>
                <w:sz w:val="18"/>
              </w:rPr>
              <w:t xml:space="preserve">four-track icon row</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docs/assets/rebuild-guide/icon-row-tracks.png</w:t>
            </w:r>
          </w:p>
        </w:tc>
      </w:tr>
      <w:tr>
        <w:tc>
          <w:tcPr>
            <w:vAlign w:val="center"/>
            <w:tcMar>
              <w:top w:w="120" w:type="dxa"/>
              <w:bottom w:w="120" w:type="dxa"/>
              <w:left w:w="150" w:type="dxa"/>
              <w:right w:w="150" w:type="dxa"/>
            </w:tcMar>
          </w:tcPr>
          <w:p>
            <w:pPr>
              <w:pStyle w:val="Compact"/>
              <w:spacing w:after="40"/>
            </w:pPr>
            <w:r>
              <w:rPr>
                <w:sz w:val="18"/>
              </w:rPr>
              <w:t xml:space="preserve">local dashboard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docs/assets/rebuild-guide/local-dashboard.png</w:t>
            </w:r>
          </w:p>
        </w:tc>
      </w:tr>
      <w:tr>
        <w:tc>
          <w:tcPr>
            <w:vAlign w:val="center"/>
            <w:tcMar>
              <w:top w:w="120" w:type="dxa"/>
              <w:bottom w:w="120" w:type="dxa"/>
              <w:left w:w="150" w:type="dxa"/>
              <w:right w:w="150" w:type="dxa"/>
            </w:tcMar>
          </w:tcPr>
          <w:p>
            <w:pPr>
              <w:pStyle w:val="Compact"/>
              <w:spacing w:after="40"/>
            </w:pPr>
            <w:r>
              <w:rPr>
                <w:sz w:val="18"/>
              </w:rPr>
              <w:t xml:space="preserve">map layer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docs/assets/rebuild-guide/map-layers.png</w:t>
            </w:r>
          </w:p>
        </w:tc>
      </w:tr>
      <w:tr>
        <w:tc>
          <w:tcPr>
            <w:vAlign w:val="center"/>
            <w:tcMar>
              <w:top w:w="120" w:type="dxa"/>
              <w:bottom w:w="120" w:type="dxa"/>
              <w:left w:w="150" w:type="dxa"/>
              <w:right w:w="150" w:type="dxa"/>
            </w:tcMar>
          </w:tcPr>
          <w:p>
            <w:pPr>
              <w:pStyle w:val="Compact"/>
              <w:spacing w:after="40"/>
            </w:pPr>
            <w:r>
              <w:rPr>
                <w:sz w:val="18"/>
              </w:rPr>
              <w:t xml:space="preserve">district selector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docs/assets/rebuild-guide/district-selector.png</w:t>
            </w:r>
          </w:p>
        </w:tc>
      </w:tr>
      <w:tr>
        <w:tc>
          <w:tcPr>
            <w:vAlign w:val="center"/>
            <w:tcMar>
              <w:top w:w="120" w:type="dxa"/>
              <w:bottom w:w="120" w:type="dxa"/>
              <w:left w:w="150" w:type="dxa"/>
              <w:right w:w="150" w:type="dxa"/>
            </w:tcMar>
          </w:tcPr>
          <w:p>
            <w:pPr>
              <w:pStyle w:val="Compact"/>
              <w:spacing w:after="40"/>
            </w:pPr>
            <w:r>
              <w:rPr>
                <w:sz w:val="18"/>
              </w:rPr>
              <w:t xml:space="preserve">district score panel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docs/assets/rebuild-guide/district-score-panel.png</w:t>
            </w:r>
          </w:p>
        </w:tc>
      </w:tr>
      <w:tr>
        <w:tc>
          <w:tcPr>
            <w:vAlign w:val="center"/>
            <w:tcMar>
              <w:top w:w="120" w:type="dxa"/>
              <w:bottom w:w="120" w:type="dxa"/>
              <w:left w:w="150" w:type="dxa"/>
              <w:right w:w="150" w:type="dxa"/>
            </w:tcMar>
          </w:tcPr>
          <w:p>
            <w:pPr>
              <w:pStyle w:val="Compact"/>
              <w:spacing w:after="40"/>
            </w:pPr>
            <w:r>
              <w:rPr>
                <w:sz w:val="18"/>
              </w:rPr>
              <w:t xml:space="preserve">data-status endpoint screenshot</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docs/assets/rebuild-guide/api-data-status.png</w:t>
            </w:r>
          </w:p>
        </w:tc>
      </w:tr>
      <w:tr>
        <w:tc>
          <w:tcPr>
            <w:vAlign w:val="center"/>
            <w:tcMar>
              <w:top w:w="120" w:type="dxa"/>
              <w:bottom w:w="120" w:type="dxa"/>
              <w:left w:w="150" w:type="dxa"/>
              <w:right w:w="150" w:type="dxa"/>
            </w:tcMar>
          </w:tcPr>
          <w:p>
            <w:pPr>
              <w:pStyle w:val="Compact"/>
              <w:spacing w:after="40"/>
            </w:pPr>
            <w:r>
              <w:rPr>
                <w:sz w:val="18"/>
              </w:rPr>
              <w:t xml:space="preserve">local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docs/assets/rebuild-guide/diagram-local-first.png</w:t>
            </w:r>
          </w:p>
        </w:tc>
      </w:tr>
      <w:tr>
        <w:tc>
          <w:tcPr>
            <w:vAlign w:val="center"/>
            <w:tcMar>
              <w:top w:w="120" w:type="dxa"/>
              <w:bottom w:w="120" w:type="dxa"/>
              <w:left w:w="150" w:type="dxa"/>
              <w:right w:w="150" w:type="dxa"/>
            </w:tcMar>
          </w:tcPr>
          <w:p>
            <w:pPr>
              <w:pStyle w:val="Compact"/>
              <w:spacing w:after="40"/>
            </w:pPr>
            <w:r>
              <w:rPr>
                <w:sz w:val="18"/>
              </w:rPr>
              <w:t xml:space="preserve">Azure workflow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docs/assets/rebuild-guide/diagram-azure-backed.png</w:t>
            </w:r>
          </w:p>
        </w:tc>
      </w:tr>
      <w:tr>
        <w:tc>
          <w:tcPr>
            <w:vAlign w:val="center"/>
            <w:tcMar>
              <w:top w:w="120" w:type="dxa"/>
              <w:bottom w:w="120" w:type="dxa"/>
              <w:left w:w="150" w:type="dxa"/>
              <w:right w:w="150" w:type="dxa"/>
            </w:tcMar>
          </w:tcPr>
          <w:p>
            <w:pPr>
              <w:pStyle w:val="Compact"/>
              <w:spacing w:after="40"/>
            </w:pPr>
            <w:r>
              <w:rPr>
                <w:sz w:val="18"/>
              </w:rPr>
              <w:t xml:space="preserve">fallback chain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docs/assets/rebuild-guide/diagram-data-fallback.png</w:t>
            </w:r>
          </w:p>
        </w:tc>
      </w:tr>
      <w:tr>
        <w:tc>
          <w:tcPr>
            <w:vAlign w:val="center"/>
            <w:tcMar>
              <w:top w:w="120" w:type="dxa"/>
              <w:bottom w:w="120" w:type="dxa"/>
              <w:left w:w="150" w:type="dxa"/>
              <w:right w:w="150" w:type="dxa"/>
            </w:tcMar>
          </w:tcPr>
          <w:p>
            <w:pPr>
              <w:pStyle w:val="Compact"/>
              <w:spacing w:after="40"/>
            </w:pPr>
            <w:r>
              <w:rPr>
                <w:sz w:val="18"/>
              </w:rPr>
              <w:t xml:space="preserve">score request diagram</w:t>
            </w:r>
          </w:p>
        </w:tc>
        <w:tc>
          <w:tcPr>
            <w:vAlign w:val="center"/>
            <w:tcMar>
              <w:top w:w="120" w:type="dxa"/>
              <w:bottom w:w="120" w:type="dxa"/>
              <w:left w:w="150" w:type="dxa"/>
              <w:right w:w="150" w:type="dxa"/>
            </w:tcMar>
          </w:tcPr>
          <w:p>
            <w:pPr>
              <w:pStyle w:val="Compact"/>
              <w:spacing w:after="40"/>
            </w:pPr>
            <w:r>
              <w:rPr>
                <w:rStyle w:val="VerbatimChar"/>
                <w:sz w:val="18"/>
              </w:rPr>
              <w:t xml:space="preserve">docs/assets/rebuild-guide/diagram-score-request.png</w:t>
            </w:r>
          </w:p>
        </w:tc>
      </w:tr>
    </w:tbl>
    <w:bookmarkEnd w:id="85"/>
    <w:bookmarkStart w:id="94" w:name="resource-index"/>
    <w:p>
      <w:pPr>
        <w:pStyle w:val="Heading2"/>
        <w:jc w:val="left"/>
      </w:pPr>
      <w:r>
        <w:t xml:space="preserve">Resource Index</w:t>
      </w:r>
    </w:p>
    <w:p>
      <w:pPr>
        <w:pStyle w:val="FirstParagraph"/>
      </w:pPr>
      <w:r>
        <w:t xml:space="preserve">Use this page as the resource hub instead of repeating links in the footer. Keep the cover page focused on the repo, local app, and deployed app URL; keep this appendix focused on build, deployment, and Azure references.</w:t>
      </w:r>
    </w:p>
    <w:tbl>
      <w:tblPr>
        <w:tblStyle w:val="Table"/>
        <w:tblW w:type="pct" w:w="5000"/>
        <w:jc w:val="center"/>
        <w:tblLayout w:type="fixed"/>
        <w:tblLook w:firstRow="1" w:lastRow="0" w:firstColumn="0" w:lastColumn="0" w:noHBand="0" w:noVBand="0" w:val="0020"/>
      </w:tblPr>
      <w:tblGrid>
        <w:gridCol w:w="3960"/>
        <w:gridCol w:w="3960"/>
      </w:tblGrid>
      <w:tr>
        <w:trPr>
          <w:tblHeader w:val="on"/>
        </w:trPr>
        <w:tc>
          <w:tcPr>
            <w:vAlign w:val="center"/>
            <w:tcMar>
              <w:top w:w="120" w:type="dxa"/>
              <w:bottom w:w="120" w:type="dxa"/>
              <w:left w:w="150" w:type="dxa"/>
              <w:right w:w="150" w:type="dxa"/>
            </w:tcMar>
            <w:shd w:fill="DDF0FA"/>
          </w:tcPr>
          <w:p>
            <w:pPr>
              <w:pStyle w:val="Compact"/>
              <w:spacing w:after="40"/>
            </w:pPr>
            <w:r>
              <w:rPr>
                <w:b/>
                <w:color w:val="092344"/>
                <w:sz w:val="18"/>
              </w:rPr>
              <w:t xml:space="preserve">Need</w:t>
            </w:r>
          </w:p>
        </w:tc>
        <w:tc>
          <w:tcPr>
            <w:vAlign w:val="center"/>
            <w:tcMar>
              <w:top w:w="120" w:type="dxa"/>
              <w:bottom w:w="120" w:type="dxa"/>
              <w:left w:w="150" w:type="dxa"/>
              <w:right w:w="150" w:type="dxa"/>
            </w:tcMar>
            <w:shd w:fill="DDF0FA"/>
          </w:tcPr>
          <w:p>
            <w:pPr>
              <w:pStyle w:val="Compact"/>
              <w:spacing w:after="40"/>
            </w:pPr>
            <w:r>
              <w:rPr>
                <w:b/>
                <w:color w:val="092344"/>
                <w:sz w:val="18"/>
              </w:rPr>
              <w:t xml:space="preserve">Open</w:t>
            </w:r>
          </w:p>
        </w:tc>
      </w:tr>
      <w:tr>
        <w:tc>
          <w:tcPr>
            <w:vAlign w:val="center"/>
            <w:tcMar>
              <w:top w:w="120" w:type="dxa"/>
              <w:bottom w:w="120" w:type="dxa"/>
              <w:left w:w="150" w:type="dxa"/>
              <w:right w:w="150" w:type="dxa"/>
            </w:tcMar>
          </w:tcPr>
          <w:p>
            <w:pPr>
              <w:pStyle w:val="Compact"/>
              <w:spacing w:after="40"/>
            </w:pPr>
            <w:r>
              <w:rPr>
                <w:sz w:val="18"/>
              </w:rPr>
              <w:t xml:space="preserve">GitHub repo</w:t>
            </w:r>
          </w:p>
        </w:tc>
        <w:tc>
          <w:tcPr>
            <w:vAlign w:val="center"/>
            <w:tcMar>
              <w:top w:w="120" w:type="dxa"/>
              <w:bottom w:w="120" w:type="dxa"/>
              <w:left w:w="150" w:type="dxa"/>
              <w:right w:w="150" w:type="dxa"/>
            </w:tcMar>
          </w:tcPr>
          <w:p>
            <w:pPr>
              <w:pStyle w:val="Compact"/>
              <w:spacing w:after="40"/>
            </w:pPr>
            <w:hyperlink r:id="rId86">
              <w:r>
                <w:rPr>
                  <w:rStyle w:val="Hyperlink"/>
                </w:rPr>
                <w:t xml:space="preserve">github.com/Esturban/microsoft-hackathon-riyadh-mobility</w:t>
              </w:r>
            </w:hyperlink>
          </w:p>
        </w:tc>
      </w:tr>
      <w:tr>
        <w:tc>
          <w:tcPr>
            <w:vAlign w:val="center"/>
            <w:tcMar>
              <w:top w:w="120" w:type="dxa"/>
              <w:bottom w:w="120" w:type="dxa"/>
              <w:left w:w="150" w:type="dxa"/>
              <w:right w:w="150" w:type="dxa"/>
            </w:tcMar>
          </w:tcPr>
          <w:p>
            <w:pPr>
              <w:pStyle w:val="Compact"/>
              <w:spacing w:after="40"/>
            </w:pPr>
            <w:r>
              <w:rPr>
                <w:sz w:val="18"/>
              </w:rPr>
              <w:t xml:space="preserve">Local dashboard</w:t>
            </w:r>
          </w:p>
        </w:tc>
        <w:tc>
          <w:tcPr>
            <w:vAlign w:val="center"/>
            <w:tcMar>
              <w:top w:w="120" w:type="dxa"/>
              <w:bottom w:w="120" w:type="dxa"/>
              <w:left w:w="150" w:type="dxa"/>
              <w:right w:w="150" w:type="dxa"/>
            </w:tcMar>
          </w:tcPr>
          <w:p>
            <w:pPr>
              <w:pStyle w:val="Compact"/>
              <w:spacing w:after="40"/>
            </w:pPr>
            <w:hyperlink r:id="rId87">
              <w:r>
                <w:rPr>
                  <w:rStyle w:val="Hyperlink"/>
                </w:rPr>
                <w:t xml:space="preserve">http://127.0.0.1:8000</w:t>
              </w:r>
            </w:hyperlink>
          </w:p>
        </w:tc>
      </w:tr>
      <w:tr>
        <w:tc>
          <w:tcPr>
            <w:vAlign w:val="center"/>
            <w:tcMar>
              <w:top w:w="120" w:type="dxa"/>
              <w:bottom w:w="120" w:type="dxa"/>
              <w:left w:w="150" w:type="dxa"/>
              <w:right w:w="150" w:type="dxa"/>
            </w:tcMar>
          </w:tcPr>
          <w:p>
            <w:pPr>
              <w:pStyle w:val="Compact"/>
              <w:spacing w:after="40"/>
            </w:pPr>
            <w:r>
              <w:rPr>
                <w:sz w:val="18"/>
              </w:rPr>
              <w:t xml:space="preserve">atomcamp Arabia</w:t>
            </w:r>
          </w:p>
        </w:tc>
        <w:tc>
          <w:tcPr>
            <w:vAlign w:val="center"/>
            <w:tcMar>
              <w:top w:w="120" w:type="dxa"/>
              <w:bottom w:w="120" w:type="dxa"/>
              <w:left w:w="150" w:type="dxa"/>
              <w:right w:w="150" w:type="dxa"/>
            </w:tcMar>
          </w:tcPr>
          <w:p>
            <w:pPr>
              <w:pStyle w:val="Compact"/>
              <w:spacing w:after="40"/>
            </w:pPr>
            <w:hyperlink r:id="rId88">
              <w:r>
                <w:rPr>
                  <w:rStyle w:val="Hyperlink"/>
                </w:rPr>
                <w:t xml:space="preserve">atomcamparabia.com</w:t>
              </w:r>
            </w:hyperlink>
          </w:p>
        </w:tc>
      </w:tr>
      <w:tr>
        <w:tc>
          <w:tcPr>
            <w:vAlign w:val="center"/>
            <w:tcMar>
              <w:top w:w="120" w:type="dxa"/>
              <w:bottom w:w="120" w:type="dxa"/>
              <w:left w:w="150" w:type="dxa"/>
              <w:right w:w="150" w:type="dxa"/>
            </w:tcMar>
          </w:tcPr>
          <w:p>
            <w:pPr>
              <w:pStyle w:val="Compact"/>
              <w:spacing w:after="40"/>
            </w:pPr>
            <w:r>
              <w:rPr>
                <w:sz w:val="18"/>
              </w:rPr>
              <w:t xml:space="preserve">Azure Developer CLI docs</w:t>
            </w:r>
          </w:p>
        </w:tc>
        <w:tc>
          <w:tcPr>
            <w:vAlign w:val="center"/>
            <w:tcMar>
              <w:top w:w="120" w:type="dxa"/>
              <w:bottom w:w="120" w:type="dxa"/>
              <w:left w:w="150" w:type="dxa"/>
              <w:right w:w="150" w:type="dxa"/>
            </w:tcMar>
          </w:tcPr>
          <w:p>
            <w:pPr>
              <w:pStyle w:val="Compact"/>
              <w:spacing w:after="40"/>
            </w:pPr>
            <w:hyperlink r:id="rId89">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rStyle w:val="VerbatimChar"/>
                <w:sz w:val="18"/>
              </w:rPr>
              <w:t xml:space="preserve">azd up</w:t>
            </w:r>
            <w:r>
              <w:rPr>
                <w:sz w:val="18"/>
              </w:rPr>
              <w:t xml:space="preserve"> </w:t>
            </w:r>
            <w:r>
              <w:rPr>
                <w:sz w:val="18"/>
              </w:rPr>
              <w:t xml:space="preserve">workflow</w:t>
            </w:r>
          </w:p>
        </w:tc>
        <w:tc>
          <w:tcPr>
            <w:vAlign w:val="center"/>
            <w:tcMar>
              <w:top w:w="120" w:type="dxa"/>
              <w:bottom w:w="120" w:type="dxa"/>
              <w:left w:w="150" w:type="dxa"/>
              <w:right w:w="150" w:type="dxa"/>
            </w:tcMar>
          </w:tcPr>
          <w:p>
            <w:pPr>
              <w:pStyle w:val="Compact"/>
              <w:spacing w:after="40"/>
            </w:pPr>
            <w:hyperlink r:id="rId90">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Container Apps docs</w:t>
            </w:r>
          </w:p>
        </w:tc>
        <w:tc>
          <w:tcPr>
            <w:vAlign w:val="center"/>
            <w:tcMar>
              <w:top w:w="120" w:type="dxa"/>
              <w:bottom w:w="120" w:type="dxa"/>
              <w:left w:w="150" w:type="dxa"/>
              <w:right w:w="150" w:type="dxa"/>
            </w:tcMar>
          </w:tcPr>
          <w:p>
            <w:pPr>
              <w:pStyle w:val="Compact"/>
              <w:spacing w:after="40"/>
            </w:pPr>
            <w:hyperlink r:id="rId91">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Maps docs</w:t>
            </w:r>
          </w:p>
        </w:tc>
        <w:tc>
          <w:tcPr>
            <w:vAlign w:val="center"/>
            <w:tcMar>
              <w:top w:w="120" w:type="dxa"/>
              <w:bottom w:w="120" w:type="dxa"/>
              <w:left w:w="150" w:type="dxa"/>
              <w:right w:w="150" w:type="dxa"/>
            </w:tcMar>
          </w:tcPr>
          <w:p>
            <w:pPr>
              <w:pStyle w:val="Compact"/>
              <w:spacing w:after="40"/>
            </w:pPr>
            <w:hyperlink r:id="rId92">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Azure Cosmos DB docs</w:t>
            </w:r>
          </w:p>
        </w:tc>
        <w:tc>
          <w:tcPr>
            <w:vAlign w:val="center"/>
            <w:tcMar>
              <w:top w:w="120" w:type="dxa"/>
              <w:bottom w:w="120" w:type="dxa"/>
              <w:left w:w="150" w:type="dxa"/>
              <w:right w:w="150" w:type="dxa"/>
            </w:tcMar>
          </w:tcPr>
          <w:p>
            <w:pPr>
              <w:pStyle w:val="Compact"/>
              <w:spacing w:after="40"/>
            </w:pPr>
            <w:hyperlink r:id="rId93">
              <w:r>
                <w:rPr>
                  <w:rStyle w:val="Hyperlink"/>
                </w:rPr>
                <w:t xml:space="preserve">Microsoft Learn</w:t>
              </w:r>
            </w:hyperlink>
          </w:p>
        </w:tc>
      </w:tr>
      <w:tr>
        <w:tc>
          <w:tcPr>
            <w:vAlign w:val="center"/>
            <w:tcMar>
              <w:top w:w="120" w:type="dxa"/>
              <w:bottom w:w="120" w:type="dxa"/>
              <w:left w:w="150" w:type="dxa"/>
              <w:right w:w="150" w:type="dxa"/>
            </w:tcMar>
          </w:tcPr>
          <w:p>
            <w:pPr>
              <w:pStyle w:val="Compact"/>
              <w:spacing w:after="40"/>
            </w:pPr>
            <w:r>
              <w:rPr>
                <w:sz w:val="18"/>
              </w:rPr>
              <w:t xml:space="preserve">Student quickstart</w:t>
            </w:r>
          </w:p>
        </w:tc>
        <w:tc>
          <w:tcPr>
            <w:vAlign w:val="center"/>
            <w:tcMar>
              <w:top w:w="120" w:type="dxa"/>
              <w:bottom w:w="120" w:type="dxa"/>
              <w:left w:w="150" w:type="dxa"/>
              <w:right w:w="150" w:type="dxa"/>
            </w:tcMar>
          </w:tcPr>
          <w:p>
            <w:pPr>
              <w:pStyle w:val="Compact"/>
              <w:spacing w:after="40"/>
            </w:pPr>
            <w:r>
              <w:rPr>
                <w:rStyle w:val="VerbatimChar"/>
                <w:sz w:val="18"/>
              </w:rPr>
              <w:t xml:space="preserve">README.md</w:t>
            </w:r>
          </w:p>
        </w:tc>
      </w:tr>
      <w:tr>
        <w:tc>
          <w:tcPr>
            <w:vAlign w:val="center"/>
            <w:tcMar>
              <w:top w:w="120" w:type="dxa"/>
              <w:bottom w:w="120" w:type="dxa"/>
              <w:left w:w="150" w:type="dxa"/>
              <w:right w:w="150" w:type="dxa"/>
            </w:tcMar>
          </w:tcPr>
          <w:p>
            <w:pPr>
              <w:pStyle w:val="Compact"/>
              <w:spacing w:after="40"/>
            </w:pPr>
            <w:r>
              <w:rPr>
                <w:sz w:val="18"/>
              </w:rPr>
              <w:t xml:space="preserve">Architecture notes</w:t>
            </w:r>
          </w:p>
        </w:tc>
        <w:tc>
          <w:tcPr>
            <w:vAlign w:val="center"/>
            <w:tcMar>
              <w:top w:w="120" w:type="dxa"/>
              <w:bottom w:w="120" w:type="dxa"/>
              <w:left w:w="150" w:type="dxa"/>
              <w:right w:w="150" w:type="dxa"/>
            </w:tcMar>
          </w:tcPr>
          <w:p>
            <w:pPr>
              <w:pStyle w:val="Compact"/>
              <w:spacing w:after="40"/>
            </w:pPr>
            <w:r>
              <w:rPr>
                <w:rStyle w:val="VerbatimChar"/>
                <w:sz w:val="18"/>
              </w:rPr>
              <w:t xml:space="preserve">docs/architecture.md</w:t>
            </w:r>
          </w:p>
        </w:tc>
      </w:tr>
      <w:tr>
        <w:tc>
          <w:tcPr>
            <w:vAlign w:val="center"/>
            <w:tcMar>
              <w:top w:w="120" w:type="dxa"/>
              <w:bottom w:w="120" w:type="dxa"/>
              <w:left w:w="150" w:type="dxa"/>
              <w:right w:w="150" w:type="dxa"/>
            </w:tcMar>
          </w:tcPr>
          <w:p>
            <w:pPr>
              <w:pStyle w:val="Compact"/>
              <w:spacing w:after="40"/>
            </w:pPr>
            <w:r>
              <w:rPr>
                <w:sz w:val="18"/>
              </w:rPr>
              <w:t xml:space="preserve">Azure deployment notes</w:t>
            </w:r>
          </w:p>
        </w:tc>
        <w:tc>
          <w:tcPr>
            <w:vAlign w:val="center"/>
            <w:tcMar>
              <w:top w:w="120" w:type="dxa"/>
              <w:bottom w:w="120" w:type="dxa"/>
              <w:left w:w="150" w:type="dxa"/>
              <w:right w:w="150" w:type="dxa"/>
            </w:tcMar>
          </w:tcPr>
          <w:p>
            <w:pPr>
              <w:pStyle w:val="Compact"/>
              <w:spacing w:after="40"/>
            </w:pPr>
            <w:r>
              <w:rPr>
                <w:rStyle w:val="VerbatimChar"/>
                <w:sz w:val="18"/>
              </w:rPr>
              <w:t xml:space="preserve">docs/azure_deployment.md</w:t>
            </w:r>
          </w:p>
        </w:tc>
      </w:tr>
      <w:tr>
        <w:tc>
          <w:tcPr>
            <w:vAlign w:val="center"/>
            <w:tcMar>
              <w:top w:w="120" w:type="dxa"/>
              <w:bottom w:w="120" w:type="dxa"/>
              <w:left w:w="150" w:type="dxa"/>
              <w:right w:w="150" w:type="dxa"/>
            </w:tcMar>
          </w:tcPr>
          <w:p>
            <w:pPr>
              <w:pStyle w:val="Compact"/>
              <w:spacing w:after="40"/>
            </w:pPr>
            <w:r>
              <w:rPr>
                <w:sz w:val="18"/>
              </w:rPr>
              <w:t xml:space="preserve">Data source notes</w:t>
            </w:r>
          </w:p>
        </w:tc>
        <w:tc>
          <w:tcPr>
            <w:vAlign w:val="center"/>
            <w:tcMar>
              <w:top w:w="120" w:type="dxa"/>
              <w:bottom w:w="120" w:type="dxa"/>
              <w:left w:w="150" w:type="dxa"/>
              <w:right w:w="150" w:type="dxa"/>
            </w:tcMar>
          </w:tcPr>
          <w:p>
            <w:pPr>
              <w:pStyle w:val="Compact"/>
              <w:spacing w:after="40"/>
            </w:pPr>
            <w:r>
              <w:rPr>
                <w:rStyle w:val="VerbatimChar"/>
                <w:sz w:val="18"/>
              </w:rPr>
              <w:t xml:space="preserve">docs/data_sources.md</w:t>
            </w:r>
          </w:p>
        </w:tc>
      </w:tr>
      <w:tr>
        <w:tc>
          <w:tcPr>
            <w:vAlign w:val="center"/>
            <w:tcMar>
              <w:top w:w="120" w:type="dxa"/>
              <w:bottom w:w="120" w:type="dxa"/>
              <w:left w:w="150" w:type="dxa"/>
              <w:right w:w="150" w:type="dxa"/>
            </w:tcMar>
          </w:tcPr>
          <w:p>
            <w:pPr>
              <w:pStyle w:val="Compact"/>
              <w:spacing w:after="40"/>
            </w:pPr>
            <w:r>
              <w:rPr>
                <w:sz w:val="18"/>
              </w:rPr>
              <w:t xml:space="preserve">Troubleshooting</w:t>
            </w:r>
          </w:p>
        </w:tc>
        <w:tc>
          <w:tcPr>
            <w:vAlign w:val="center"/>
            <w:tcMar>
              <w:top w:w="120" w:type="dxa"/>
              <w:bottom w:w="120" w:type="dxa"/>
              <w:left w:w="150" w:type="dxa"/>
              <w:right w:w="150" w:type="dxa"/>
            </w:tcMar>
          </w:tcPr>
          <w:p>
            <w:pPr>
              <w:pStyle w:val="Compact"/>
              <w:spacing w:after="40"/>
            </w:pPr>
            <w:r>
              <w:rPr>
                <w:rStyle w:val="VerbatimChar"/>
                <w:sz w:val="18"/>
              </w:rPr>
              <w:t xml:space="preserve">docs/troubleshooting.md</w:t>
            </w:r>
          </w:p>
        </w:tc>
      </w:tr>
      <w:tr>
        <w:tc>
          <w:tcPr>
            <w:vAlign w:val="center"/>
            <w:tcMar>
              <w:top w:w="120" w:type="dxa"/>
              <w:bottom w:w="120" w:type="dxa"/>
              <w:left w:w="150" w:type="dxa"/>
              <w:right w:w="150" w:type="dxa"/>
            </w:tcMar>
          </w:tcPr>
          <w:p>
            <w:pPr>
              <w:pStyle w:val="Compact"/>
              <w:spacing w:after="40"/>
            </w:pPr>
            <w:r>
              <w:rPr>
                <w:sz w:val="18"/>
              </w:rPr>
              <w:t xml:space="preserve">Demo script</w:t>
            </w:r>
          </w:p>
        </w:tc>
        <w:tc>
          <w:tcPr>
            <w:vAlign w:val="center"/>
            <w:tcMar>
              <w:top w:w="120" w:type="dxa"/>
              <w:bottom w:w="120" w:type="dxa"/>
              <w:left w:w="150" w:type="dxa"/>
              <w:right w:w="150" w:type="dxa"/>
            </w:tcMar>
          </w:tcPr>
          <w:p>
            <w:pPr>
              <w:pStyle w:val="Compact"/>
              <w:spacing w:after="40"/>
            </w:pPr>
            <w:r>
              <w:rPr>
                <w:rStyle w:val="VerbatimChar"/>
                <w:sz w:val="18"/>
              </w:rPr>
              <w:t xml:space="preserve">docs/judging_demo_script.md</w:t>
            </w:r>
          </w:p>
        </w:tc>
      </w:tr>
    </w:tbl>
    <w:bookmarkEnd w:id="94"/>
    <w:bookmarkStart w:id="95" w:name="glossary"/>
    <w:p>
      <w:pPr>
        <w:pStyle w:val="Heading2"/>
        <w:jc w:val="left"/>
      </w:pPr>
      <w:r>
        <w:t xml:space="preserve">Glossary</w:t>
      </w:r>
    </w:p>
    <w:p>
      <w:pPr>
        <w:pStyle w:val="FirstParagraph"/>
      </w:pPr>
      <w:r>
        <w:rPr>
          <w:b/>
          <w:bCs/>
        </w:rPr>
        <w:t xml:space="preserve">Azure-backed live path</w:t>
      </w:r>
      <w:r>
        <w:br/>
      </w:r>
      <w:r>
        <w:t xml:space="preserve">The deployable path where the starter kit uses Azure services for maps, hosting, files, records, and monitoring.</w:t>
      </w:r>
    </w:p>
    <w:p>
      <w:pPr>
        <w:pStyle w:val="BodyText"/>
      </w:pPr>
      <w:r>
        <w:rPr>
          <w:b/>
          <w:bCs/>
        </w:rPr>
        <w:t xml:space="preserve">Blob Storage</w:t>
      </w:r>
      <w:r>
        <w:br/>
      </w:r>
      <w:r>
        <w:t xml:space="preserve">Azure file storage for raw and processed mobility datasets.</w:t>
      </w:r>
    </w:p>
    <w:p>
      <w:pPr>
        <w:pStyle w:val="BodyText"/>
      </w:pPr>
      <w:r>
        <w:rPr>
          <w:b/>
          <w:bCs/>
        </w:rPr>
        <w:t xml:space="preserve">Cosmos DB</w:t>
      </w:r>
      <w:r>
        <w:br/>
      </w:r>
      <w:r>
        <w:t xml:space="preserve">Azure document database for route summaries, district records, and event records.</w:t>
      </w:r>
    </w:p>
    <w:p>
      <w:pPr>
        <w:pStyle w:val="BodyText"/>
      </w:pPr>
      <w:r>
        <w:rPr>
          <w:b/>
          <w:bCs/>
        </w:rPr>
        <w:t xml:space="preserve">FastAPI</w:t>
      </w:r>
      <w:r>
        <w:br/>
      </w:r>
      <w:r>
        <w:t xml:space="preserve">Python web framework used to serve the API and static frontend.</w:t>
      </w:r>
    </w:p>
    <w:p>
      <w:pPr>
        <w:pStyle w:val="BodyText"/>
      </w:pPr>
      <w:r>
        <w:rPr>
          <w:b/>
          <w:bCs/>
        </w:rPr>
        <w:t xml:space="preserve">GeoJSON</w:t>
      </w:r>
      <w:r>
        <w:br/>
      </w:r>
      <w:r>
        <w:t xml:space="preserve">JSON format for map features such as points, lines, and polygons.</w:t>
      </w:r>
    </w:p>
    <w:p>
      <w:pPr>
        <w:pStyle w:val="BodyText"/>
      </w:pPr>
      <w:r>
        <w:rPr>
          <w:b/>
          <w:bCs/>
        </w:rPr>
        <w:t xml:space="preserve">Mobility Intelligence Starter Kit</w:t>
      </w:r>
      <w:r>
        <w:br/>
      </w:r>
      <w:r>
        <w:t xml:space="preserve">The reusable scaffold that teams can adapt into mobility, district, sustainability, or culture prototypes.</w:t>
      </w:r>
    </w:p>
    <w:p>
      <w:pPr>
        <w:pStyle w:val="BodyText"/>
      </w:pPr>
      <w:r>
        <w:rPr>
          <w:b/>
          <w:bCs/>
        </w:rPr>
        <w:t xml:space="preserve">Sample fallback</w:t>
      </w:r>
      <w:r>
        <w:br/>
      </w:r>
      <w:r>
        <w:t xml:space="preserve">The local files that keep the app useful even when cloud services or remote data are unavailable.</w:t>
      </w:r>
    </w:p>
    <w:p>
      <w:pPr>
        <w:pStyle w:val="BodyText"/>
      </w:pPr>
      <w:r>
        <w:rPr>
          <w:b/>
          <w:bCs/>
        </w:rPr>
        <w:t xml:space="preserve">Single-page application</w:t>
      </w:r>
      <w:r>
        <w:br/>
      </w:r>
      <w:r>
        <w:t xml:space="preserve">The current frontend shape: one main web page that loads data and updates panels dynamically.</w:t>
      </w:r>
    </w:p>
    <w:bookmarkEnd w:id="95"/>
    <w:bookmarkEnd w:id="96"/>
    <w:bookmarkStart w:id="97" w:name="closing-note"/>
    <w:p>
      <w:pPr>
        <w:pStyle w:val="Heading1"/>
        <w:jc w:val="left"/>
      </w:pPr>
      <w:r>
        <w:t xml:space="preserve">Closing Note</w:t>
      </w:r>
    </w:p>
    <w:p>
      <w:pPr>
        <w:pStyle w:val="FirstParagraph"/>
      </w:pPr>
      <w:r>
        <w:t xml:space="preserve">The starter kit is strongest when it stays practical: one useful local screen, clear route layers, transparent scoring, and a cloud-live path that is credible without becoming heavy. Build the smallest version that can be explained well, then extend it toward the hackathon track that matters most.</w:t>
      </w:r>
    </w:p>
    <w:bookmarkEnd w:id="97"/>
    <w:sectPr>
      <w:footerReference w:type="first" r:id="rId10"/>
      <w:footerReference w:type="default" r:id="rId11"/>
      <w:footnotePr>
        <w:numRestart w:val="eachSect"/>
      </w:footnotePr>
      <w:pgMar w:top="691" w:bottom="893" w:left="792" w:right="792"/>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66982"/>
        <w:sz w:val="17"/>
      </w:rPr>
      <w:t xml:space="preserve">Riyadh Mobility Intelligence Starter Kit | August Hackathon Working Document | Page </w:t>
    </w:r>
    <w:r>
      <w:rPr>
        <w:rFonts w:ascii="Aptos" w:hAnsi="Aptos"/>
        <w:color w:val="566982"/>
        <w:sz w:val="17"/>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9" w:lineRule="auto" w:after="120"/>
    </w:pPr>
    <w:rPr>
      <w:rFonts w:ascii="Aptos" w:hAnsi="Aptos"/>
      <w:b w:val="0"/>
      <w:color w:val="1F2937"/>
      <w:sz w:val="22"/>
    </w:rPr>
  </w:style>
  <w:style w:styleId="BodyText" w:type="paragraph">
    <w:name w:val="Body Text"/>
    <w:basedOn w:val="Normal"/>
    <w:link w:val="BodyTextChar"/>
    <w:qFormat/>
    <w:pPr>
      <w:spacing w:after="120" w:before="180" w:line="259" w:lineRule="auto"/>
    </w:pPr>
    <w:rPr>
      <w:rFonts w:ascii="Aptos" w:hAnsi="Aptos"/>
      <w:b w:val="0"/>
      <w:color w:val="1F2937"/>
      <w:sz w:val="22"/>
    </w:rPr>
  </w:style>
  <w:style w:customStyle="1" w:styleId="FirstParagraph" w:type="paragraph">
    <w:name w:val="First Paragraph"/>
    <w:basedOn w:val="BodyText"/>
    <w:next w:val="BodyText"/>
    <w:qFormat/>
    <w:pPr>
      <w:spacing w:line="259" w:lineRule="auto" w:after="120"/>
    </w:pPr>
    <w:rPr>
      <w:rFonts w:ascii="Aptos" w:hAnsi="Aptos"/>
      <w:b w:val="0"/>
      <w:color w:val="1F2937"/>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40" w:before="160"/>
      <w:outlineLvl w:val="0"/>
    </w:pPr>
    <w:rPr>
      <w:rFonts w:asciiTheme="majorHAnsi" w:cstheme="majorBidi" w:eastAsiaTheme="majorEastAsia" w:hAnsiTheme="majorHAnsi" w:ascii="Aptos Display" w:hAnsi="Aptos Display"/>
      <w:b/>
      <w:color w:val="092344"/>
      <w:sz w:val="48"/>
      <w:szCs w:val="40"/>
    </w:rPr>
  </w:style>
  <w:style w:styleId="Heading2" w:type="paragraph">
    <w:name w:val="heading 2"/>
    <w:basedOn w:val="Normal"/>
    <w:next w:val="BodyText"/>
    <w:link w:val="Heading2Char"/>
    <w:uiPriority w:val="9"/>
    <w:semiHidden/>
    <w:unhideWhenUsed/>
    <w:qFormat/>
    <w:rsid w:val="00A10FD9"/>
    <w:pPr>
      <w:keepNext/>
      <w:keepLines/>
      <w:spacing w:after="80" w:before="140"/>
      <w:outlineLvl w:val="1"/>
    </w:pPr>
    <w:rPr>
      <w:rFonts w:asciiTheme="majorHAnsi" w:cstheme="majorBidi" w:eastAsiaTheme="majorEastAsia" w:hAnsiTheme="majorHAnsi" w:ascii="Aptos Display" w:hAnsi="Aptos Display"/>
      <w:b/>
      <w:color w:val="006091"/>
      <w:sz w:val="32"/>
      <w:szCs w:val="32"/>
    </w:rPr>
  </w:style>
  <w:style w:styleId="Heading3" w:type="paragraph">
    <w:name w:val="heading 3"/>
    <w:basedOn w:val="Normal"/>
    <w:next w:val="BodyText"/>
    <w:link w:val="Heading3Char"/>
    <w:uiPriority w:val="9"/>
    <w:semiHidden/>
    <w:unhideWhenUsed/>
    <w:qFormat/>
    <w:rsid w:val="00A10FD9"/>
    <w:pPr>
      <w:keepNext/>
      <w:keepLines/>
      <w:spacing w:after="60" w:before="100"/>
      <w:outlineLvl w:val="2"/>
    </w:pPr>
    <w:rPr>
      <w:rFonts w:cstheme="majorBidi" w:eastAsiaTheme="majorEastAsia" w:ascii="Aptos" w:hAnsi="Aptos"/>
      <w:b/>
      <w:color w:val="111827"/>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hAnsi="Menlo"/>
      <w:b w:val="0"/>
      <w:color w:val="0F172A"/>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Menlo" w:hAnsi="Menlo"/>
      <w:b w:val="0"/>
      <w:color w:val="0F172A"/>
      <w:sz w:val="19"/>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 Type="http://schemas.openxmlformats.org/officeDocument/2006/relationships/image" Target="media/rId53.png"/><Relationship Id="rId33" Type="http://schemas.openxmlformats.org/officeDocument/2006/relationships/image" Target="media/rId33.png"/><Relationship Id="rId37" Type="http://schemas.openxmlformats.org/officeDocument/2006/relationships/image" Target="media/rId37.png"/><Relationship Id="rId29" Type="http://schemas.openxmlformats.org/officeDocument/2006/relationships/image" Target="media/rId29.png"/><Relationship Id="rId56" Type="http://schemas.openxmlformats.org/officeDocument/2006/relationships/image" Target="media/rId56.png"/><Relationship Id="rId64" Type="http://schemas.openxmlformats.org/officeDocument/2006/relationships/image" Target="media/rId64.png"/><Relationship Id="rId61" Type="http://schemas.openxmlformats.org/officeDocument/2006/relationships/image" Target="media/rId61.png"/><Relationship Id="rId18" Type="http://schemas.openxmlformats.org/officeDocument/2006/relationships/image" Target="media/rId18.png"/><Relationship Id="rId47" Type="http://schemas.openxmlformats.org/officeDocument/2006/relationships/image" Target="media/rId47.png"/><Relationship Id="rId25" Type="http://schemas.openxmlformats.org/officeDocument/2006/relationships/image" Target="media/rId25.png"/><Relationship Id="rId67" Type="http://schemas.openxmlformats.org/officeDocument/2006/relationships/image" Target="media/rId67.png"/><Relationship Id="rId9" Type="http://schemas.openxmlformats.org/officeDocument/2006/relationships/image" Target="media/rId9.png"/><Relationship Id="rId15" Type="http://schemas.openxmlformats.org/officeDocument/2006/relationships/image" Target="media/rId15.png"/><Relationship Id="rId12" Type="http://schemas.openxmlformats.org/officeDocument/2006/relationships/image" Target="media/rId12.png"/><Relationship Id="rId42" Type="http://schemas.openxmlformats.org/officeDocument/2006/relationships/image" Target="media/rId42.png"/><Relationship Id="rId22" Type="http://schemas.openxmlformats.org/officeDocument/2006/relationships/image" Target="media/rId22.png"/><Relationship Id="rId72" Type="http://schemas.openxmlformats.org/officeDocument/2006/relationships/image" Target="media/rId72.png"/><Relationship Id="rId87" Type="http://schemas.openxmlformats.org/officeDocument/2006/relationships/hyperlink" Target="http://127.0.0.1:8000" TargetMode="External"/><Relationship Id="rId88" Type="http://schemas.openxmlformats.org/officeDocument/2006/relationships/hyperlink" Target="https://atomcamparabia.com/" TargetMode="External"/><Relationship Id="rId86" Type="http://schemas.openxmlformats.org/officeDocument/2006/relationships/hyperlink" Target="https://github.com/Esturban/microsoft-hackathon-riyadh-mobility" TargetMode="External"/><Relationship Id="rId92" Type="http://schemas.openxmlformats.org/officeDocument/2006/relationships/hyperlink" Target="https://learn.microsoft.com/en-us/azure/azure-maps/" TargetMode="External"/><Relationship Id="rId91" Type="http://schemas.openxmlformats.org/officeDocument/2006/relationships/hyperlink" Target="https://learn.microsoft.com/en-us/azure/container-apps/overview" TargetMode="External"/><Relationship Id="rId89" Type="http://schemas.openxmlformats.org/officeDocument/2006/relationships/hyperlink" Target="https://learn.microsoft.com/en-us/azure/developer/azure-developer-cli/" TargetMode="External"/><Relationship Id="rId90" Type="http://schemas.openxmlformats.org/officeDocument/2006/relationships/hyperlink" Target="https://learn.microsoft.com/en-us/azure/developer/azure-developer-cli/azd-up-workflow" TargetMode="External"/><Relationship Id="rId93" Type="http://schemas.openxmlformats.org/officeDocument/2006/relationships/hyperlink" Target="https://learn.microsoft.com/en-us/cosmos-db/"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87" Type="http://schemas.openxmlformats.org/officeDocument/2006/relationships/hyperlink" Target="http://127.0.0.1:8000" TargetMode="External"/><Relationship Id="rId88" Type="http://schemas.openxmlformats.org/officeDocument/2006/relationships/hyperlink" Target="https://atomcamparabia.com/" TargetMode="External"/><Relationship Id="rId86" Type="http://schemas.openxmlformats.org/officeDocument/2006/relationships/hyperlink" Target="https://github.com/Esturban/microsoft-hackathon-riyadh-mobility" TargetMode="External"/><Relationship Id="rId92" Type="http://schemas.openxmlformats.org/officeDocument/2006/relationships/hyperlink" Target="https://learn.microsoft.com/en-us/azure/azure-maps/" TargetMode="External"/><Relationship Id="rId91" Type="http://schemas.openxmlformats.org/officeDocument/2006/relationships/hyperlink" Target="https://learn.microsoft.com/en-us/azure/container-apps/overview" TargetMode="External"/><Relationship Id="rId89" Type="http://schemas.openxmlformats.org/officeDocument/2006/relationships/hyperlink" Target="https://learn.microsoft.com/en-us/azure/developer/azure-developer-cli/" TargetMode="External"/><Relationship Id="rId90" Type="http://schemas.openxmlformats.org/officeDocument/2006/relationships/hyperlink" Target="https://learn.microsoft.com/en-us/azure/developer/azure-developer-cli/azd-up-workflow" TargetMode="External"/><Relationship Id="rId93" Type="http://schemas.openxmlformats.org/officeDocument/2006/relationships/hyperlink" Target="https://learn.microsoft.com/en-us/cosmos-d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2026-06-03T15:54:20Z</dcterms:created>
  <dcterms:modified xsi:type="dcterms:W3CDTF">2026-06-03T15:54:20Z</dcterms:modified>
</cp:coreProperties>
</file>

<file path=docProps/custom.xml><?xml version="1.0" encoding="utf-8"?>
<Properties xmlns="http://schemas.openxmlformats.org/officeDocument/2006/custom-properties" xmlns:vt="http://schemas.openxmlformats.org/officeDocument/2006/docPropsVTypes"/>
</file>