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bidi w:val="1"/>
        <w:jc w:val="both"/>
        <w:rPr>
          <w:rFonts w:cs="David"/>
          <w:spacing w:val="-6"/>
          <w:sz w:val="36"/>
          <w:szCs w:val="36"/>
          <w:lang w:bidi="he-IL"/>
        </w:rPr>
      </w:pPr>
      <w:r>
        <w:rPr>
          <w:rFonts w:cs="David"/>
          <w:b/>
          <w:b/>
          <w:bCs/>
          <w:spacing w:val="-6"/>
          <w:sz w:val="36"/>
          <w:sz w:val="36"/>
          <w:szCs w:val="36"/>
          <w:rtl w:val="true"/>
          <w:lang w:bidi="he-IL"/>
        </w:rPr>
        <w:t>רש</w:t>
      </w:r>
      <w:r>
        <w:rPr>
          <w:rFonts w:cs="David"/>
          <w:b/>
          <w:bCs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b/>
          <w:b/>
          <w:bCs/>
          <w:spacing w:val="-6"/>
          <w:sz w:val="36"/>
          <w:sz w:val="36"/>
          <w:szCs w:val="36"/>
          <w:rtl w:val="true"/>
          <w:lang w:bidi="he-IL"/>
        </w:rPr>
        <w:t>י בגיטין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 xml:space="preserve"> </w:t>
      </w:r>
      <w:r>
        <w:rPr>
          <w:rFonts w:cs="David"/>
          <w:spacing w:val="-6"/>
          <w:sz w:val="36"/>
          <w:szCs w:val="36"/>
          <w:rtl w:val="true"/>
          <w:lang w:bidi="he-IL"/>
        </w:rPr>
        <w:t>(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לח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.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ד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ה יאוש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)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מבאר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 xml:space="preserve">דיאוש  הוי הפקר </w:t>
      </w:r>
      <w:r>
        <w:rPr>
          <w:rFonts w:cs="David"/>
          <w:spacing w:val="-6"/>
          <w:sz w:val="36"/>
          <w:szCs w:val="36"/>
          <w:rtl w:val="true"/>
          <w:lang w:bidi="he-IL"/>
        </w:rPr>
        <w:t>(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ודלא כתוס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'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ע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פ ביאור הנתיבות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).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וכן רש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 xml:space="preserve">י </w:t>
      </w:r>
      <w:r>
        <w:rPr>
          <w:rFonts w:cs="David"/>
          <w:spacing w:val="-6"/>
          <w:sz w:val="36"/>
          <w:szCs w:val="36"/>
          <w:rtl w:val="true"/>
          <w:lang w:bidi="he-IL"/>
        </w:rPr>
        <w:t>(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ד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ה בחזקה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)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 xml:space="preserve">כתב 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קנאו בחזקת יאוש כשהפקירו בעלים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",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ומבואר דיאוש הוי כהפקר גמור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. </w:t>
      </w:r>
    </w:p>
    <w:p>
      <w:pPr>
        <w:pStyle w:val="Standard"/>
        <w:bidi w:val="1"/>
        <w:jc w:val="both"/>
        <w:rPr>
          <w:rFonts w:cs="David"/>
          <w:spacing w:val="-6"/>
          <w:sz w:val="36"/>
          <w:szCs w:val="36"/>
          <w:lang w:bidi="he-IL"/>
        </w:rPr>
      </w:pPr>
      <w:r>
        <w:rPr>
          <w:rFonts w:cs="David"/>
          <w:b/>
          <w:b/>
          <w:bCs/>
          <w:spacing w:val="-6"/>
          <w:sz w:val="36"/>
          <w:sz w:val="36"/>
          <w:szCs w:val="36"/>
          <w:rtl w:val="true"/>
          <w:lang w:bidi="he-IL"/>
        </w:rPr>
        <w:t>ולפי</w:t>
      </w:r>
      <w:r>
        <w:rPr>
          <w:rFonts w:cs="David"/>
          <w:b/>
          <w:bCs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b/>
          <w:b/>
          <w:bCs/>
          <w:spacing w:val="-6"/>
          <w:sz w:val="36"/>
          <w:sz w:val="36"/>
          <w:szCs w:val="36"/>
          <w:rtl w:val="true"/>
          <w:lang w:bidi="he-IL"/>
        </w:rPr>
        <w:t xml:space="preserve">ז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מיושבים דברי החמדת שלמה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דאמר שמה שצריך ל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אשר תאבד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", 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 xml:space="preserve">דאם היה כתוב רק 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שמלה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"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לא הוה ידעינן מזה דין יאוש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דכ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ז רק לשיטת רש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י דביאוש התחדש דהוי כהפקר ממש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אבל לפי תוס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'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 xml:space="preserve">דהוי רק היתר זכיה אין צריך את 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אשר תאבד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"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לדין יאוש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ואפשר ללמוד אף מ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שמלה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"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לחודיה דיאוש הוי היתר זכיה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.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וכן מיושב הפרי יצחק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 xml:space="preserve">דאמר שצריך את 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אשר תאבד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"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 xml:space="preserve">ללמד דיאוש הוי הפקר ממש 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-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דכל זה הוי רק לשיטת רש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י דיאוש הוי הפקר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אבל לשיטת תוס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' -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דיאוש הוי היתר זכיה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יאוש נלמד מ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שמלה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"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לחוד</w:t>
      </w:r>
      <w:r>
        <w:rPr>
          <w:rFonts w:cs="David"/>
          <w:spacing w:val="-6"/>
          <w:sz w:val="36"/>
          <w:szCs w:val="36"/>
          <w:rtl w:val="true"/>
          <w:lang w:bidi="he-IL"/>
        </w:rPr>
        <w:t>.</w:t>
      </w:r>
    </w:p>
    <w:p>
      <w:pPr>
        <w:pStyle w:val="Standard"/>
        <w:bidi w:val="1"/>
        <w:jc w:val="both"/>
        <w:rPr>
          <w:rFonts w:cs="David"/>
          <w:spacing w:val="-6"/>
          <w:sz w:val="36"/>
          <w:szCs w:val="36"/>
          <w:lang w:bidi="he-IL"/>
        </w:rPr>
      </w:pPr>
      <w:r>
        <w:rPr>
          <w:rFonts w:cs="David"/>
          <w:b/>
          <w:b/>
          <w:bCs/>
          <w:spacing w:val="-6"/>
          <w:sz w:val="36"/>
          <w:sz w:val="36"/>
          <w:szCs w:val="36"/>
          <w:rtl w:val="true"/>
          <w:lang w:bidi="he-IL"/>
        </w:rPr>
        <w:t>ולפי</w:t>
      </w:r>
      <w:r>
        <w:rPr>
          <w:rFonts w:cs="David"/>
          <w:b/>
          <w:bCs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b/>
          <w:b/>
          <w:bCs/>
          <w:spacing w:val="-6"/>
          <w:sz w:val="36"/>
          <w:sz w:val="36"/>
          <w:szCs w:val="36"/>
          <w:rtl w:val="true"/>
          <w:lang w:bidi="he-IL"/>
        </w:rPr>
        <w:t>ז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 xml:space="preserve"> מבואר איך תוס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'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הוציאו דרש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י אינו לומד מ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שמלה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"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 xml:space="preserve">יאוש אלא הפקר 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-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כיון דתוס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'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סברו דיאוש הוי היתר זכיה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ואם רש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י כתב שמ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שמלה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"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ידעינן הפקר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ע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כ שסבר ד</w:t>
      </w:r>
      <w:r>
        <w:rPr>
          <w:rFonts w:cs="David"/>
          <w:spacing w:val="-6"/>
          <w:sz w:val="36"/>
          <w:szCs w:val="36"/>
          <w:rtl w:val="true"/>
          <w:lang w:bidi="he-IL"/>
        </w:rPr>
        <w:t>"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שמלה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"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אינו מלמד יאוש</w:t>
      </w:r>
      <w:r>
        <w:rPr>
          <w:rFonts w:cs="David"/>
          <w:spacing w:val="-6"/>
          <w:sz w:val="36"/>
          <w:szCs w:val="36"/>
          <w:rtl w:val="true"/>
          <w:lang w:bidi="he-IL"/>
        </w:rPr>
        <w:t xml:space="preserve">, </w:t>
      </w:r>
      <w:r>
        <w:rPr>
          <w:rFonts w:cs="David"/>
          <w:spacing w:val="-6"/>
          <w:sz w:val="36"/>
          <w:sz w:val="36"/>
          <w:szCs w:val="36"/>
          <w:rtl w:val="true"/>
          <w:lang w:bidi="he-IL"/>
        </w:rPr>
        <w:t>כיון דיאוש אינו כהפקר</w:t>
      </w:r>
      <w:r>
        <w:rPr>
          <w:rFonts w:cs="David"/>
          <w:spacing w:val="-6"/>
          <w:sz w:val="36"/>
          <w:szCs w:val="36"/>
          <w:rtl w:val="true"/>
          <w:lang w:bidi="he-IL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הגמ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b w:val="false"/>
          <w:b w:val="false"/>
          <w:bCs w:val="false"/>
          <w:spacing w:val="-6"/>
          <w:sz w:val="36"/>
          <w:sz w:val="36"/>
          <w:szCs w:val="36"/>
          <w:rtl w:val="true"/>
        </w:rPr>
        <w:t>לקמן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קיג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:)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אומרת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דמוכח מזה שאנשים עוברים 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ג גשרים שעשויים מעצים של אנשים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דדינא דמלכותא דינא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ומקשה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דלמא מה שעוברים הוי משום דהבעלים מתייאשים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ומתרצת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 לא דינא דמלכותא דינא היכי מייאשי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ומבאר 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דכוונת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דאי לאו דדינא דמלכותא דינא לא מהני יאוש להתיר לעבור על הגשר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משום דיאוש כדי לא קני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אמנם 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מבארים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דכוונת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דלא יתכן שזה מצד היאוש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דאנשים לא יתייאשו ויגבו כסף מכל עובר ועובר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וקשה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למה 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מיאנו בביאור 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י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דהוי מצד דיאוש כדי לא קני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ואפשר לבאר 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פ המשנה בע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 שם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שאומרת המשנה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דאין פורטין מעות מתיבת המוכסין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וביאר 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דלמרות שאינו נחשב גזל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דייאוש ושינוי רשות מהני לקנות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 אין פורטין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משום דדבר מגונה הוא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אמנם 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 ביאר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דהטעם הוא משום דהוי מעות גזל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ונראה מדבריו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דסבר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דהטעם דלא מהני יאוש לבתר דאתי לידיה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הוי משום שחפץ דאיכא עליו חיוב השבה לבעליו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לא חל עליו 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אף באדם אחר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שאינו הגנב עצמו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שייך לומר דהוו מעות גזל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משום דלא חל עלייהו 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אך התוס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סברו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דודאי אי  נתייאשו הבעלים חל הייאוש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ואף אם הוה לבתר דאתי לידיה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רק דהגזלן אינו קונה בייאוש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משום דאיכא עליו חיוב השבה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אה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אדם אחר דאין עליו חיוב השבה קונה בייאוש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ולכן ביארו התוס’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דהטעם דאין פורטין הוי משום דדבר מגונה הוא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ולפי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ז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מבואר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דשם לא קאי בגזלן עצמו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בסתם אנשים  העוברים על הגשר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ולכן לא ביארו התוס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דכוונת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שלא מהני 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דהרי לאדם אחר מהני הייאוש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אך 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 לשיטתו דסבר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דאף כלפי אחרים לא מהני הייאוש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מצי לבאר דכוונת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לומר דלא מהני 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ולפי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ז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מבאר 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נחום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דלשיטת 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 שלא חל ייאוש בדבר דאיכא עליו חיוב השבה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אפשר ליישב לקושיית התוס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דאף אם יאוש הוי 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 הגזלן אינו קונה את הגזלה ביאוש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דאיכא על החפץ חיוב השבה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וכיון שכך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לא חל עליו שם 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התוס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לשיטתייהו סברי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דכל הבעיה היא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דכיון שיש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והשיב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אינו יכול לזכות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לכך הוצרכו לבאר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דייאוש הוי היתר זכיה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דאל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תיקשי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דאף אם נתייאש לבתר דאתי לידיה דגזלן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מ שיקנה בייאוש משום דאין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והשיב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.     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ומוכיח הדברי יחזקאל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דייאוש הוי הפקר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מדברי הריטב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 בפאה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אומרת דעניים מעיר אחרת מתייאשים ממתנות העניים של עיר דאינה עירם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אם באו יכולים ליטול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ומקשה הריטב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והרי אם נתייאשו כבר אינם שלהם 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ואיך יכולים ליטול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מתרץ הריטב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 דמזה שבא לקחת פאה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למרות שהוא בן עיר אחרת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מוכח דמעולם לא התייאש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אם נזדמן לאותה העיר במקרה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דאז לא מוכח דלא התייאש אינו יכול לקחת פאה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].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ומזה שהריטב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 לא תירץ שהטעם שיכול לקחת פאה הוי משום דבייאוש עדיין מוגדר שלו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דיש היתר זכיה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מוכח שסבר דייאוש הוי כהפקר ממש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</w:t>
      </w:r>
      <w:r>
        <w:rPr>
          <w:rFonts w:cs="David" w:ascii="David" w:hAnsi="David"/>
          <w:spacing w:val="-6"/>
          <w:sz w:val="36"/>
          <w:szCs w:val="36"/>
          <w:rtl w:val="true"/>
        </w:rPr>
        <w:t>].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ומקשה הדברי יחזקאל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לפי 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 והריטב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 דייאוש הוי כהפקר גמור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קשה אמאי לא תירצה הגמ’ בדף צ’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דהטעם דאינו חייב דמים על הנזק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הוי משום דנתייאש כבר מהבהמה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שעומד לסקילה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], 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וייאוש הוי כהפקר לכל דבר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מתרץ הדברי יחזקאל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דכל מה שצריך דבשעת העמדה בדין השור יהיה שלו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הוי דין רק בקרן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דנגח ואח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הפקיר פטור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ולא הזיק ואח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הפקיר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דשם נאמר הגזרת הכתוב של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והועד בבעליו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בשן ורגל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אין צריך שבשעת העמדה בדין השור יהיה שלו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ולכן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בדף צ’ לא יכלה לתרץ שהטעם שפטור מדמים הוי משום שהפקיר קודם העמדה בדין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דהרי תירוץ זה מהני רק לגבי קרן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לא לגבי שן ורגל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ובפשטות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שם דיברה בכל סוגי המועדים ואף בשן ורגל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אך עדיין תיקשי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לשיטת 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 והריטב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 דייאוש הוי 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איך אומרת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דבחמץ אומר לו הרש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והרי אינו שלו דהא נתייאש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מתרץ התרומת הכרי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דרק היכא דאין חיוב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והשיב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על הבעין כמו בשינוי אינו יכול לומר הרש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בחמץ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דעדיין איכא חיוב 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והשיב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על הבעין משום דהגזלן אינו יכול לקנות החמץ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דהרי בא לידו באיסור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] 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יכול הגזלן לומר הרש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ותירוץ התרומת הכרי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הוא דלא כר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נחום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נחום כתב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דאי ייאוש הוי הפקר אף על הבעין עצמו אין חיוב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והשיב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".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וכן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דלא כהנתיבות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דאמר דאי ייאוש הוי כהפקר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הבעלים אינו יכול לתבוע את הגזלה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דלפי התרומת הכרי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הבעלים כן יוכל לתבוע מהגזלן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משום דיש על החפץ דין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והשיב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".  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ולפי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ז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אפשר לתרץ את קושיית התוס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דאף אם ייאוש הוי כהפקר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 לא יקנה בייאוש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משום דיש חיוב של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והשיב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על הבעין עצמו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הזכר יצחק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חולק על הנתיבות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ואומר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דלא יתכן לומר דשייך לבעלים אלא דיש היתר זכיה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דאם כל אדם יכול לזכות בחפץ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אין שום משמעות לבעלותו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ומוגדר 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דייאוש הוי כהפקר לכל דבר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וכמו שבשמיטה הקרקעות 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למרות שהתורה לא אמרה דהוו הפקר אלא רק דצריך לשמוט הקרקעות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ומוכח דכל דבר שאין לבעלים שליטה עליו הוי הפקר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ודברי הזכר יצחק הם דלא כשיטת היראים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</w:t>
      </w:r>
      <w:r>
        <w:rPr>
          <w:rFonts w:ascii="David" w:hAnsi="David" w:eastAsia="Calibri" w:cs="David" w:eastAsiaTheme="minorHAnsi"/>
          <w:color w:val="auto"/>
          <w:spacing w:val="-6"/>
          <w:kern w:val="0"/>
          <w:sz w:val="36"/>
          <w:sz w:val="36"/>
          <w:szCs w:val="36"/>
          <w:rtl w:val="true"/>
          <w:lang w:val="en-US" w:eastAsia="en-US" w:bidi="he-IL"/>
        </w:rPr>
        <w:t>כתבו</w:t>
      </w:r>
      <w:r>
        <w:rPr>
          <w:rFonts w:eastAsia="Calibri" w:cs="David" w:ascii="David" w:hAnsi="David" w:eastAsiaTheme="minorHAnsi"/>
          <w:color w:val="auto"/>
          <w:spacing w:val="-6"/>
          <w:kern w:val="0"/>
          <w:sz w:val="36"/>
          <w:szCs w:val="36"/>
          <w:rtl w:val="true"/>
          <w:lang w:val="en-US" w:eastAsia="en-US" w:bidi="he-IL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שלמרות שמותר לגנוב מגוי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בכל זאת נחשב של הגוי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ולכן אינו מוגדר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לכם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ומוכח דשייך בעלות למרות שלגוי אין שליטה על חפציו</w:t>
      </w:r>
      <w:r>
        <w:rPr>
          <w:rFonts w:cs="David" w:ascii="David" w:hAnsi="David"/>
          <w:spacing w:val="-6"/>
          <w:sz w:val="36"/>
          <w:szCs w:val="36"/>
          <w:rtl w:val="true"/>
        </w:rPr>
        <w:t>. 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אמנם אפשר לדחות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דבגוי שייך בעלות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דיש לו שליטה על החפץ ביחס לכל שאר הגויים</w:t>
      </w:r>
      <w:r>
        <w:rPr>
          <w:rFonts w:cs="David" w:ascii="David" w:hAnsi="David"/>
          <w:spacing w:val="-6"/>
          <w:sz w:val="36"/>
          <w:szCs w:val="36"/>
          <w:rtl w:val="true"/>
        </w:rPr>
        <w:t>)].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לכן אומר הזכר יצחק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דאף 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סובר דייאוש הוי כהפקר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ומה שתוס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אומר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מכאן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משמע ש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ייאוש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אינו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כהפקר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גמור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כוונתו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דמכאן מוכח 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בייאוש הבעלים לא מפקיר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רק מתייאש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וממילא חל דין 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דאם נאמר שהבעלים עצמם מפקירים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תיקשי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דאפ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תייאשו לבתר דאתי לידיה דגזלן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יפטר הגזלן מלשלם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רצו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הבעלים להפקיר ועלה בידם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וכמו שמצינו דהגונב בהמה והקדישוה בעליה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ברשות הגזלן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לשיטת הצנועים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דמהני הקדש אף שאינו ברשות הבעלים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>),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הגזלן פטור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מכפל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דחזרה קרן לבעלים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דהא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הבעלים רצו להקדיש ועלה בידם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],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כ דלא הבעלים עצמם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החילו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לכ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ך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תייאשו לבתר דאתי לידיה דגזלן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חייב הגזלן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ומדויק כן מהמשך התוס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שאומר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לא משום דכי מתייאש הרי הוא מפקירו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משמע דהנידון הוא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אם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הרי הוא מפקירו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בעצמו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או שרק מתייאש וממילא חל הפקר</w:t>
      </w:r>
      <w:r>
        <w:rPr>
          <w:rFonts w:cs="David" w:ascii="David" w:hAnsi="David"/>
          <w:spacing w:val="-6"/>
          <w:sz w:val="36"/>
          <w:szCs w:val="36"/>
          <w:rtl w:val="true"/>
        </w:rPr>
        <w:t>].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וצ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ע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pacing w:val="-6"/>
          <w:sz w:val="36"/>
          <w:sz w:val="36"/>
          <w:szCs w:val="36"/>
          <w:rtl w:val="true"/>
        </w:rPr>
        <w:t>דא</w:t>
      </w:r>
      <w:r>
        <w:rPr>
          <w:rFonts w:cs="David" w:ascii="David" w:hAnsi="David"/>
          <w:b w:val="false"/>
          <w:bCs w:val="false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spacing w:val="-6"/>
          <w:sz w:val="36"/>
          <w:sz w:val="36"/>
          <w:szCs w:val="36"/>
          <w:rtl w:val="true"/>
        </w:rPr>
        <w:t>כ מה 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קשה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התוס’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ממפקיר עבדו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והרי סוף סוף הוי 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משום כך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פטור מגט שחרור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החזו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א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מבאר כעין הזכר יצחק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מוכיח דייאוש אינו נעשה מרצונו של הבעלים כהפקר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דהרי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אם נעשה מרצונו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של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אף לבתר דאתי לידיה דגזלן ייפטר הגזלן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דהרי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כשהבעלים מתייאשים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הריהם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מפקיעים מרצונם את החיוב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והשיב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דיאוש אינו כהפקר שנע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מרצונו של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ולכן כשהתייאש לבתר דאתי לידיה דגזלן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חייב הגזלן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ון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עד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ין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איכא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חיוב ד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והשיב</w:t>
      </w:r>
      <w:r>
        <w:rPr>
          <w:rFonts w:cs="David" w:ascii="David" w:hAnsi="David"/>
          <w:spacing w:val="-6"/>
          <w:sz w:val="36"/>
          <w:szCs w:val="36"/>
          <w:rtl w:val="true"/>
        </w:rPr>
        <w:t>" 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דהייאוש לא נעשה מרצונם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ז 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מקשה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דאם כל ייאוש הוי בע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דבעלים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למה כש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תייאש מעבדו אין צריך גט שחרור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והרי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בעינן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שהשחרור יהיה מרצונו של 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ז מתרץ 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דכיון שהעבד אינו תחת שליטת הבעלים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צריך גט שחרור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    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avi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ii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icrosoft Yi Baiti" w:cs="Arial" w:asciiTheme="minorHAnsi" w:cstheme="minorBidi" w:eastAsiaTheme="minorEastAsia" w:hAnsiTheme="minorHAnsi"/>
        <w:sz w:val="22"/>
        <w:szCs w:val="22"/>
        <w:lang w:val="en-US" w:eastAsia="ko-KR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6443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eastAsia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af6443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Arial" w:cstheme="minorBid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LibreOffice/7.1.2.2$Windows_X86_64 LibreOffice_project/8a45595d069ef5570103caea1b71cc9d82b2aae4</Application>
  <AppVersion>15.0000</AppVersion>
  <Pages>4</Pages>
  <Words>1186</Words>
  <Characters>5246</Characters>
  <CharactersWithSpaces>6439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2022-06-24T15:00:00Z</dcterms:created>
  <dc:creator>user</dc:creator>
  <dc:description/>
  <dc:language>en-US</dc:language>
  <cp:lastModifiedBy/>
  <dcterms:modified xsi:type="dcterms:W3CDTF">2022-06-28T17:43:47Z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