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מקשה התרומת הכרי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אמאי הקשתה הגמ</w:t>
      </w:r>
      <w:r>
        <w:rPr>
          <w:rFonts w:cs="David" w:ascii="David" w:hAnsi="David"/>
          <w:spacing w:val="-6"/>
          <w:sz w:val="36"/>
          <w:szCs w:val="36"/>
          <w:rtl w:val="true"/>
        </w:rPr>
        <w:t>' 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איך בחמץ יכול לומר 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רק למ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ייאוש כדי קני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והרי אף למ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יאוש לא קני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איך יכול לומר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הרי לא הוי של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שכל אדם מפקיר את חמצו קודם הפסח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שנאסר בהנאה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וכדאשכחן בשור הנסקל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כל הקודם בו זכה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שהבעלים מפקירים את השור כיון שנאסר בהנאה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מיישב התרומת הכרי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דבאמת בכל דבר הנאסר בהנאה אין הבעלים  מפקירים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רק מתייאשים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ובאמת גם בשור הנסקל הטעם 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כל הקודם בו זכה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הוי משום שהבעלים מתייאשים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אמנם כ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 מיישב רק לשיטת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דסבר שיאוש הוי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לתוס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דייאוש הוי היתר זכיה בעלמא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אין שייך לומר דבשור הנסקל מה 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כל הקודם בו זכה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הוי משום דהבעלים מתייאשים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אומרת דהוי משום שהבעלים מפקירים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הדרא קושיה לדוכתא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לכן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מתרץ התרומת הכרי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דרק שם שהוזמו העדים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שמתברר למפרע דההפקר היה ברשותא דבעלים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מהני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בחמץ שאסור בהנאה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חשיב ברשותא דבעלים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 מהני הפקר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האמרי משה </w:t>
      </w:r>
      <w:r>
        <w:rPr>
          <w:rFonts w:ascii="David" w:hAnsi="David" w:cs="David"/>
          <w:b w:val="false"/>
          <w:b w:val="false"/>
          <w:bCs w:val="false"/>
          <w:spacing w:val="-6"/>
          <w:sz w:val="36"/>
          <w:sz w:val="36"/>
          <w:szCs w:val="36"/>
          <w:rtl w:val="true"/>
        </w:rPr>
        <w:t>מקשה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לשיטתו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דהכוונה 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באיסורא אתא לידיה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הוא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דכיון שהייאוש נעשה מחמת גזלתו לא מהני ייאוש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דכל זה קיים רק בגזילה רגילה שבאמת התייאש מחמתו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בחמץ שמתייאש מחמת האיסור הנאה ולא מחמת הגזלה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לכו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ע אמור ליהני הייאוש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תקשה אף למ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 דייאוש בגזלה אינו קונה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אמאי יכול לומר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הרי כאן ודאי דקונה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שהייאוש אינו מחמת גזלתו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מחמת האיסור הנאה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מתרץ האמרי משה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דגם בכה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 מוגדר ייאוש מחמת גזלתו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דכל מה שהבעלים מתייאשים אף קודם האיסור הנאה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הוי רק משום שיודעים דלא יוכלו לאכול החמץ קודם זמן האיסור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דאינו ברשותם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ואם לא היה גוזל היו יכולים לאכול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וממילא לא היו מתייאשים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יוצא שהייאוש הוי מחמת גזלתו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ולכך חשיב 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באיסורא אתא לידיה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  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הקוב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ש מסתפק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האם בגזלן שנאבדה גזלתו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ושמע הבעלים שנאבדה לגזלן ומחמת כן התייאש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ולאחמ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חזר הגזלן ומצאה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האם למ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דייאוש בגזלה לא קני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הגזלן בכ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 יקנה את האבדה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דהייאוש לא הוי מחמת גזלתו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 דלמא לא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ומכריע הקוב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דכשם שבחמץ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שהייאוש לא נעשה מחמת גזלתו אלא מחמת האיסור הנאה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ובכל זאת  אף שם המ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שייאוש לא קני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סובר דהגזלן אינו קונה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אף בנידון דנן הגזלן לא יקנה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ולפי דברי האמרי משה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אפשר לדחות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דדווקא באבדה אינו קונה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שהבעלים יודעים דהחמץ יאסר בהנאה ומתייאשים אף קודם זמן האיסור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שאינו ברשותם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בגזלה רגילה שנאבדה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שהבעלים לא התייאשו מחמת הגזלה אלא מחמת האבדה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קונה הגזלן את הגזלה משום דהייאוש לא נעשה מחמת גזלתו אלא מחמת האבדה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שהיתה יכולה לקרות אף בבית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>].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מקשה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ר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אהרן לייב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איך שייך איסור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בל יראה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בחמץ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והרי הבעלים מתייאשים מהחמץ קודם הפסח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וקושיה זו אינה קשה לשיטת הנתיבות שסובר דאף לאחר ייאוש הוי של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דלשיטתו ודאי שצריך את 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בל יראה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לומר דאף שמתייאשים עוברים 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בל יראה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ששייך להם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לפי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דייאוש הוי הפקר גמור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קשה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איך שייך הלאו של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בל יראה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"].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וקושיה זו אינה קשה על עצם האיסור של התורה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 אפשר לומר דהתורה אמרה את דינה לרשעים שאינם מתייאשים מהחמץ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קשה על רבנן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דתיקנו בדיקת חמץ למרות שמבטל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והטעם הוא משום שחוששים שמא לא יבטל יפה יפה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ומוכח דקאי בצדיקים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ועליהם לא חל הדין של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בל יראה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דמתייאשים מהחמץ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מיישב ר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אהרן לייב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דייאוש מהני רק היכא שנתייאש מהחמץ עצמו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קרי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שנאבד מרשותו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],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בחמץ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שהחמץ נמצא לפניו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רק דייאסר בהנאה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שייך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ז לא קיים דין ייאוש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דכל דין ייאוש נלמד מאבדה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ושם הייאוש הוי מחמת שהחפץ נאבד ממנו לגמרי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 מחמת האיסור הנאה</w:t>
      </w:r>
      <w:r>
        <w:rPr>
          <w:rFonts w:cs="David" w:ascii="David" w:hAnsi="David"/>
          <w:spacing w:val="-6"/>
          <w:sz w:val="36"/>
          <w:szCs w:val="36"/>
          <w:rtl w:val="true"/>
        </w:rPr>
        <w:t>].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התרומת הכרי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רס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מוכיח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דהנה איתא בגמ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בגיטין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נג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:)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מחלוקת אי היזק שאינו ניכר שמיה היזק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 לאו שמיה היזק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ומקשה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דהיזק שאינו ניכר שמיה היזק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איך בחמץ יכול לומר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והרי גזלן חייב לשלם דמים מעליא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וחמץ שעבר עליו הפסח לא שווה מידי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ומקשה שם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איך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מדמה לחמץ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הרי המ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שהיזק שאינו ניכר שמיה היזק אמר את דינו היכא דהזיק בידים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בחמץ שנעשה ממילא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יתכן דאף הוא יודה דלאו שמיה היזק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ומתרץ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דאי היזק שאינו ניכר שמיה היזק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יוצא דנחשב היזק ניכר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 איך בחמץ יכול לומר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הרי הוי שינוי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והגזלן קונה בשינוי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ומזה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שהגמ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לא תירצה דהטעם שיכול לומר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 חשיב שינוי הוי משום שהגזלן צריך רצון לקנות כמו בייאוש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מוכח ששינוי מקנה את החפץ לגזלן אף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דקונה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/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ובביאור גדר החילוק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בין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שבו צריך רצון לקנות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לבין שינוי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שקונה אף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דכיון דייאוש נלמד מאבדה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ובאבדה תליא ברצונו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אם רוצה להגביה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להשיב או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לקנות</w:t>
      </w:r>
      <w:r>
        <w:rPr>
          <w:rFonts w:cs="David" w:ascii="David" w:hAnsi="David"/>
          <w:spacing w:val="-6"/>
          <w:sz w:val="36"/>
          <w:szCs w:val="36"/>
          <w:rtl w:val="true"/>
        </w:rPr>
        <w:t>),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אף בייאוש תליא ברצונו לקנות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הייאוש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שינוי מקנה אף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כיון דנלמד מגזלה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מקרא 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אשר גזל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"],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וכשם שבגזלה צריך להשיב את הגזלה אף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אף בשינוי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קונה אף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suppressAutoHyphens w:val="true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  <w:t xml:space="preserve">      </w:t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spacing w:lineRule="auto" w:line="276"/>
        <w:jc w:val="both"/>
        <w:rPr>
          <w:rFonts w:ascii="David" w:hAnsi="David" w:cs="David"/>
          <w:b/>
          <w:b/>
          <w:bCs/>
          <w:spacing w:val="-6"/>
          <w:sz w:val="36"/>
          <w:szCs w:val="36"/>
        </w:rPr>
      </w:pP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  <w:t xml:space="preserve">      </w:t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  <w:t xml:space="preserve">       </w:t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spacing w:lineRule="auto" w:line="48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80" w:right="1080" w:header="708" w:top="1440" w:footer="708" w:bottom="1440" w:gutter="0"/>
          <w:pgNumType w:fmt="decimal"/>
          <w:cols w:num="2" w:space="396" w:equalWidth="true" w:sep="false"/>
          <w:formProt w:val="false"/>
          <w:textDirection w:val="lrTb"/>
          <w:bidi/>
          <w:bidi/>
          <w:docGrid w:type="default" w:linePitch="600" w:charSpace="36864"/>
        </w:sectPr>
      </w:pP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type w:val="continuous"/>
      <w:pgSz w:w="11906" w:h="16838"/>
      <w:pgMar w:left="1080" w:right="1080" w:header="708" w:top="1440" w:footer="708" w:bottom="1440" w:gutter="0"/>
      <w:cols w:num="4" w:space="396" w:equalWidth="true" w:sep="false"/>
      <w:formProt w:val="false"/>
      <w:textDirection w:val="lrTb"/>
      <w:bidi/>
      <w:bidi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avid">
    <w:charset w:val="00"/>
    <w:family w:val="roman"/>
    <w:pitch w:val="variable"/>
  </w:font>
  <w:font w:name="FbAvshalom Bold">
    <w:charset w:val="00"/>
    <w:family w:val="roman"/>
    <w:pitch w:val="variable"/>
  </w:font>
  <w:font w:name="FbAlfa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9420" cy="1905"/>
              <wp:effectExtent l="0" t="0" r="0" b="0"/>
              <wp:wrapNone/>
              <wp:docPr id="1" name="מחבר חץ ישר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80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3085" cy="240030"/>
              <wp:effectExtent l="0" t="0" r="0" b="0"/>
              <wp:wrapNone/>
              <wp:docPr id="2" name="סוגר מרובע כפול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600" cy="239400"/>
                      </a:xfrm>
                      <a:prstGeom prst="bracketPair">
                        <a:avLst>
                          <a:gd name="adj" fmla="val 17129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val="000000"/>
                            </w:rPr>
                            <w:t>3</w:t>
                          </w:r>
                          <w:r>
                            <w:rPr>
                              <w:rtl w:val="true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סוגר מרובע כפול 11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style="position:absolute;margin-left:221.9pt;margin-top:26.55pt;width:43.45pt;height:18.8pt;mso-wrap-style:square;v-text-anchor:top;mso-position-horizontal:center;mso-position-horizontal-relative:margin;mso-position-vertical:center" type="shapetype_185">
              <v:fill o:detectmouseclick="t" type="solid" color2="black"/>
              <v:stroke color="black" weight="2844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/>
                    </w:pPr>
                    <w:r>
                      <w:rPr>
                        <w:color w:val="000000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val="000000"/>
                      </w:rPr>
                      <w:instrText> PAGE </w:instrText>
                    </w:r>
                    <w:r>
                      <w:rPr>
                        <w:rtl w:val="true"/>
                        <w:color w:val="000000"/>
                      </w:rPr>
                      <w:fldChar w:fldCharType="separate"/>
                    </w:r>
                    <w:r>
                      <w:rPr>
                        <w:rtl w:val="true"/>
                        <w:color w:val="000000"/>
                      </w:rPr>
                      <w:t>3</w:t>
                    </w:r>
                    <w:r>
                      <w:rPr>
                        <w:rtl w:val="true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97" w:hanging="0"/>
      <w:jc w:val="right"/>
      <w:rPr>
        <w:rFonts w:ascii="FbAvshalom Bold" w:hAnsi="FbAvshalom Bold" w:cs="FbAvshalom Bold"/>
        <w:lang w:val="he-IL"/>
      </w:rPr>
    </w:pPr>
    <w:r>
      <w:rPr>
        <w:rFonts w:cs="FbAvshalom Bold" w:ascii="FbAvshalom Bold" w:hAnsi="FbAvshalom Bold"/>
        <w:rtl w:val="true"/>
        <w:lang w:val="he-IL"/>
      </w:rPr>
      <w:t xml:space="preserve">    </w:t>
    </w:r>
  </w:p>
  <w:p>
    <w:pPr>
      <w:pStyle w:val="Normal"/>
      <w:tabs>
        <w:tab w:val="clear" w:pos="720"/>
        <w:tab w:val="left" w:pos="2845" w:leader="none"/>
      </w:tabs>
      <w:spacing w:lineRule="auto" w:line="240" w:before="0" w:after="0"/>
      <w:rPr/>
    </w:pPr>
    <w:r>
      <w:rPr>
        <w:rtl w:val="true"/>
      </w:rPr>
      <w:t xml:space="preserve">                            </w:t>
    </w:r>
    <w:r>
      <w:rPr>
        <w:rFonts w:cs="FbAvshalom Bold" w:ascii="FbAvshalom Bold" w:hAnsi="FbAvshalom Bold"/>
        <w:b/>
        <w:bCs/>
        <w:sz w:val="40"/>
        <w:szCs w:val="40"/>
        <w:rtl w:val="true"/>
      </w:rPr>
      <w:t xml:space="preserve">   </w:t>
    </w:r>
    <w:r>
      <w:rPr>
        <w:rFonts w:ascii="FbAvshalom Bold" w:hAnsi="FbAvshalom Bold" w:cs="FbAvshalom Bold"/>
        <w:b/>
        <w:b/>
        <w:bCs/>
        <w:sz w:val="48"/>
        <w:sz w:val="48"/>
        <w:szCs w:val="48"/>
        <w:rtl w:val="true"/>
      </w:rPr>
      <w:t>שיעורי</w:t>
    </w:r>
    <w:r>
      <w:rPr>
        <w:rFonts w:ascii="FbAvshalom Bold" w:hAnsi="FbAvshalom Bold" w:cs="FbAvshalom Bold"/>
        <w:b/>
        <w:b/>
        <w:bCs/>
        <w:sz w:val="40"/>
        <w:sz w:val="40"/>
        <w:szCs w:val="40"/>
        <w:rtl w:val="true"/>
      </w:rPr>
      <w:t xml:space="preserve">  </w:t>
    </w:r>
    <w:r>
      <w:rPr>
        <w:rFonts w:ascii="FbAvshalom Bold" w:hAnsi="FbAvshalom Bold" w:cs="FbAvshalom Bold"/>
        <w:sz w:val="28"/>
        <w:sz w:val="28"/>
        <w:szCs w:val="28"/>
        <w:rtl w:val="true"/>
      </w:rPr>
      <w:t xml:space="preserve">           </w:t>
    </w:r>
    <w:r>
      <w:rPr>
        <w:rFonts w:ascii="FbAvshalom Bold" w:hAnsi="FbAvshalom Bold" w:cs="FbAvshalom Bold"/>
        <w:sz w:val="32"/>
        <w:sz w:val="32"/>
        <w:szCs w:val="32"/>
        <w:rtl w:val="true"/>
      </w:rPr>
      <w:t>פרק מרובה סה</w:t>
    </w:r>
    <w:r>
      <w:rPr>
        <w:rFonts w:cs="FbAvshalom Bold" w:ascii="FbAvshalom Bold" w:hAnsi="FbAvshalom Bold"/>
        <w:sz w:val="32"/>
        <w:szCs w:val="32"/>
        <w:rtl w:val="true"/>
      </w:rPr>
      <w:t>.-</w:t>
    </w:r>
    <w:r>
      <w:rPr>
        <w:rFonts w:ascii="FbAvshalom Bold" w:hAnsi="FbAvshalom Bold" w:cs="FbAvshalom Bold"/>
        <w:sz w:val="32"/>
        <w:sz w:val="32"/>
        <w:szCs w:val="32"/>
        <w:rtl w:val="true"/>
      </w:rPr>
      <w:t>סז</w:t>
    </w:r>
    <w:r>
      <w:rPr>
        <w:rFonts w:cs="FbAvshalom Bold" w:ascii="FbAvshalom Bold" w:hAnsi="FbAvshalom Bold"/>
        <w:sz w:val="32"/>
        <w:szCs w:val="32"/>
        <w:rtl w:val="true"/>
      </w:rPr>
      <w:t>.</w:t>
    </w:r>
    <w:r>
      <w:rPr>
        <w:rFonts w:cs="FbAvshalom Bold" w:ascii="FbAvshalom Bold" w:hAnsi="FbAvshalom Bold"/>
        <w:sz w:val="28"/>
        <w:szCs w:val="28"/>
        <w:rtl w:val="true"/>
      </w:rPr>
      <w:t xml:space="preserve">             </w:t>
    </w:r>
    <w:r>
      <w:rPr>
        <w:rFonts w:cs="FbAvshalom Bold" w:ascii="FbAvshalom Bold" w:hAnsi="FbAvshalom Bold"/>
        <w:b/>
        <w:bCs/>
        <w:sz w:val="40"/>
        <w:szCs w:val="40"/>
        <w:rtl w:val="true"/>
      </w:rPr>
      <w:t xml:space="preserve"> </w:t>
    </w:r>
    <w:r>
      <w:rPr>
        <w:rFonts w:ascii="FbAvshalom Bold" w:hAnsi="FbAvshalom Bold" w:cs="FbAvshalom Bold"/>
        <w:b/>
        <w:b/>
        <w:bCs/>
        <w:sz w:val="48"/>
        <w:sz w:val="48"/>
        <w:szCs w:val="48"/>
        <w:rtl w:val="true"/>
      </w:rPr>
      <w:t>ר</w:t>
    </w:r>
    <w:r>
      <w:rPr>
        <w:rFonts w:cs="FbAvshalom Bold" w:ascii="FbAvshalom Bold" w:hAnsi="FbAvshalom Bold"/>
        <w:b/>
        <w:bCs/>
        <w:sz w:val="48"/>
        <w:szCs w:val="48"/>
        <w:rtl w:val="true"/>
      </w:rPr>
      <w:t xml:space="preserve">' </w:t>
    </w:r>
    <w:r>
      <w:rPr>
        <w:rFonts w:ascii="FbAvshalom Bold" w:hAnsi="FbAvshalom Bold" w:cs="FbAvshalom Bold"/>
        <w:b/>
        <w:b/>
        <w:bCs/>
        <w:sz w:val="48"/>
        <w:sz w:val="48"/>
        <w:szCs w:val="48"/>
        <w:rtl w:val="true"/>
      </w:rPr>
      <w:t>שלמה</w:t>
    </w:r>
  </w:p>
  <w:p>
    <w:pPr>
      <w:pStyle w:val="Header"/>
      <w:spacing w:lineRule="auto" w:line="276"/>
      <w:jc w:val="center"/>
      <w:rPr>
        <w:rFonts w:ascii="FbAlfa Bold" w:hAnsi="FbAlfa Bold" w:cs="Guttman Rashi"/>
        <w:b/>
        <w:b/>
        <w:bCs/>
        <w:u w:val="single"/>
      </w:rPr>
    </w:pPr>
    <w:r>
      <w:rPr>
        <w:rFonts w:cs="Guttman Rashi" w:ascii="FbAlfa Bold" w:hAnsi="FbAlfa Bold"/>
        <w:b/>
        <w:bCs/>
        <w:u w:val="single"/>
        <w:rtl w:val="true"/>
      </w:rPr>
    </w:r>
  </w:p>
</w:hdr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1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Microsoft Yi Baiti" w:cs="Times New Roman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כותרת עליונה תו"/>
    <w:basedOn w:val="DefaultParagraphFont"/>
    <w:qFormat/>
    <w:rPr/>
  </w:style>
  <w:style w:type="character" w:styleId="Style14">
    <w:name w:val="כותרת תחתונה תו"/>
    <w:basedOn w:val="DefaultParagraphFont"/>
    <w:qFormat/>
    <w:rPr/>
  </w:style>
  <w:style w:type="character" w:styleId="1">
    <w:name w:val="כותרת 1 תו"/>
    <w:basedOn w:val="DefaultParagraphFont"/>
    <w:qFormat/>
    <w:rPr>
      <w:rFonts w:ascii="Calibri Light" w:hAnsi="Calibri Light" w:eastAsia="Microsoft Yi Baiti" w:cs="Times New Roman"/>
      <w:color w:val="2F5496"/>
      <w:sz w:val="32"/>
      <w:szCs w:val="32"/>
    </w:rPr>
  </w:style>
  <w:style w:type="character" w:styleId="Style15">
    <w:name w:val="גוף טקסט תו"/>
    <w:basedOn w:val="DefaultParagraphFont"/>
    <w:qFormat/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6">
    <w:name w:val="טקסט הערה תו"/>
    <w:basedOn w:val="DefaultParagraphFont"/>
    <w:qFormat/>
    <w:rPr>
      <w:sz w:val="20"/>
      <w:szCs w:val="20"/>
    </w:rPr>
  </w:style>
  <w:style w:type="character" w:styleId="Style17">
    <w:name w:val="נושא הערה תו"/>
    <w:basedOn w:val="Style16"/>
    <w:qFormat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bidi w:val="0"/>
      <w:spacing w:lineRule="auto" w:line="240" w:before="240" w:after="120"/>
      <w:jc w:val="left"/>
    </w:pPr>
    <w:rPr>
      <w:rFonts w:ascii="Liberation Sans" w:hAnsi="Liberation Sans" w:eastAsia="Microsoft YaHei" w:cs="Arial"/>
      <w:kern w:val="2"/>
      <w:sz w:val="28"/>
      <w:szCs w:val="28"/>
      <w:lang w:eastAsia="zh-CN" w:bidi="hi-IN"/>
    </w:rPr>
  </w:style>
  <w:style w:type="paragraph" w:styleId="TextBody">
    <w:name w:val="Body Text"/>
    <w:basedOn w:val="Normal"/>
    <w:pPr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Caption1">
    <w:name w:val="caption"/>
    <w:basedOn w:val="Normal"/>
    <w:qFormat/>
    <w:pPr>
      <w:suppressLineNumbers/>
      <w:suppressAutoHyphens w:val="true"/>
      <w:bidi w:val="0"/>
      <w:spacing w:lineRule="auto" w:line="240" w:before="120" w:after="120"/>
      <w:jc w:val="left"/>
    </w:pPr>
    <w:rPr>
      <w:rFonts w:ascii="Liberation Serif" w:hAnsi="Liberation Serif" w:eastAsia="NSimSun" w:cs="Arial"/>
      <w:i/>
      <w:iCs/>
      <w:kern w:val="2"/>
      <w:sz w:val="24"/>
      <w:szCs w:val="24"/>
      <w:lang w:eastAsia="zh-CN" w:bidi="hi-IN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11">
    <w:name w:val="ללא רשימה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Application>LibreOffice/7.1.2.2$Windows_X86_64 LibreOffice_project/8a45595d069ef5570103caea1b71cc9d82b2aae4</Application>
  <AppVersion>15.0000</AppVersion>
  <Pages>3</Pages>
  <Words>758</Words>
  <Characters>3353</Characters>
  <CharactersWithSpaces>4186</CharactersWithSpaces>
  <Paragraphs>18</Paragraphs>
  <Company>Ministry of Education - Israel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2022-05-12T19:04:00Z</dcterms:created>
  <dc:creator>IMOE001</dc:creator>
  <dc:description/>
  <dc:language>en-US</dc:language>
  <cp:lastModifiedBy/>
  <cp:lastPrinted>2022-06-22T20:51:00Z</cp:lastPrinted>
  <dcterms:modified xsi:type="dcterms:W3CDTF">2022-06-29T23:35:48Z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