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7A5A00"/>
          <w:sz w:val="22"/>
        </w:rPr>
        <w:t>FIELD GUIDE</w:t>
      </w:r>
    </w:p>
    <w:p>
      <w:pPr>
        <w:spacing w:after="160"/>
        <w:jc w:val="center"/>
      </w:pPr>
      <w:r>
        <w:rPr>
          <w:rFonts w:ascii="Calibri" w:hAnsi="Calibri"/>
          <w:b/>
          <w:color w:val="0B2545"/>
          <w:sz w:val="58"/>
        </w:rPr>
        <w:t>Professional Trading Practice</w:t>
      </w:r>
    </w:p>
    <w:p>
      <w:pPr>
        <w:jc w:val="center"/>
      </w:pPr>
      <w:r>
        <w:rPr>
          <w:rFonts w:ascii="Calibri" w:hAnsi="Calibri"/>
          <w:color w:val="2E74B5"/>
          <w:sz w:val="28"/>
        </w:rPr>
        <w:t>A beginner-to-intermediate guide to structure, confirmation, entries, stops, 2R forecasts, risk control and review</w:t>
      </w:r>
    </w:p>
    <w:p/>
    <w:tbl>
      <w:tblPr>
        <w:tblW w:type="auto" w:w="0"/>
        <w:jc w:val="center"/>
        <w:tblLayout w:type="fixed"/>
        <w:tblLook w:firstColumn="1" w:firstRow="1" w:lastColumn="0" w:lastRow="0" w:noHBand="0" w:noVBand="1" w:val="04A0"/>
      </w:tblPr>
      <w:tblGrid>
        <w:gridCol w:w="9360"/>
      </w:tblGrid>
      <w:tr>
        <w:tc>
          <w:tcPr>
            <w:tcW w:type="dxa" w:w="9360"/>
            <w:shd w:fill="E8EEF5"/>
            <w:tcMar>
              <w:top w:w="140" w:type="dxa"/>
              <w:start w:w="180" w:type="dxa"/>
              <w:bottom w:w="140" w:type="dxa"/>
              <w:end w:w="180" w:type="dxa"/>
            </w:tcMar>
          </w:tcPr>
          <w:p>
            <w:pPr>
              <w:spacing w:after="0"/>
            </w:pPr>
            <w:r>
              <w:rPr>
                <w:rFonts w:ascii="Calibri" w:hAnsi="Calibri"/>
                <w:b/>
                <w:color w:val="0B2545"/>
                <w:sz w:val="21"/>
              </w:rPr>
              <w:t xml:space="preserve">Core principle  </w:t>
            </w:r>
            <w:r>
              <w:rPr>
                <w:rFonts w:ascii="Calibri" w:hAnsi="Calibri"/>
                <w:sz w:val="21"/>
              </w:rPr>
              <w:t>A good trade is a planned risk with evidence—not a prediction that must be right.</w:t>
            </w:r>
          </w:p>
        </w:tc>
      </w:tr>
    </w:tbl>
    <w:p>
      <w:pPr>
        <w:spacing w:after="20"/>
      </w:pPr>
    </w:p>
    <w:p>
      <w:pPr>
        <w:spacing w:before="1800"/>
        <w:jc w:val="center"/>
      </w:pPr>
      <w:r>
        <w:rPr>
          <w:rFonts w:ascii="Calibri" w:hAnsi="Calibri"/>
          <w:i/>
          <w:color w:val="5A6470"/>
          <w:sz w:val="20"/>
        </w:rPr>
        <w:t>Designed for chart replay and paper trading before live capital</w:t>
      </w:r>
    </w:p>
    <w:p>
      <w:r>
        <w:br w:type="page"/>
      </w:r>
    </w:p>
    <w:p>
      <w:pPr>
        <w:pStyle w:val="Heading1"/>
        <w:keepNext/>
      </w:pPr>
      <w:r>
        <w:t>How to use this guide</w:t>
      </w:r>
    </w:p>
    <w:p>
      <w:pPr>
        <w:spacing w:after="120" w:line="288" w:lineRule="auto"/>
      </w:pPr>
      <w:r>
        <w:rPr>
          <w:rFonts w:ascii="Calibri" w:hAnsi="Calibri"/>
          <w:sz w:val="21"/>
        </w:rPr>
        <w:t>Read Chapters 1–6 once, then keep the one-page checklists beside your chart. During replay, stop after every closed candle, make the decision using only visible information, draw the forecast, and reveal the next candle only after the plan is fixed.</w:t>
      </w:r>
    </w:p>
    <w:tbl>
      <w:tblPr>
        <w:tblW w:type="auto" w:w="0"/>
        <w:jc w:val="center"/>
        <w:tblLayout w:type="fixed"/>
        <w:tblLook w:firstColumn="1" w:firstRow="1" w:lastColumn="0" w:lastRow="0" w:noHBand="0" w:noVBand="1" w:val="04A0"/>
      </w:tblPr>
      <w:tblGrid>
        <w:gridCol w:w="9360"/>
      </w:tblGrid>
      <w:tr>
        <w:tc>
          <w:tcPr>
            <w:tcW w:type="dxa" w:w="9360"/>
            <w:shd w:fill="FDECEC"/>
            <w:tcMar>
              <w:top w:w="140" w:type="dxa"/>
              <w:start w:w="180" w:type="dxa"/>
              <w:bottom w:w="140" w:type="dxa"/>
              <w:end w:w="180" w:type="dxa"/>
            </w:tcMar>
          </w:tcPr>
          <w:p>
            <w:pPr>
              <w:spacing w:after="0"/>
            </w:pPr>
            <w:r>
              <w:rPr>
                <w:rFonts w:ascii="Calibri" w:hAnsi="Calibri"/>
                <w:b/>
                <w:color w:val="0B2545"/>
                <w:sz w:val="21"/>
              </w:rPr>
              <w:t xml:space="preserve">Important  </w:t>
            </w:r>
            <w:r>
              <w:rPr>
                <w:rFonts w:ascii="Calibri" w:hAnsi="Calibri"/>
                <w:sz w:val="21"/>
              </w:rPr>
              <w:t>This is educational material, not individualized financial advice. Trading can lose all committed capital. Paper trade first; never use borrowed money or money needed for living expenses.</w:t>
            </w:r>
          </w:p>
        </w:tc>
      </w:tr>
    </w:tbl>
    <w:p>
      <w:pPr>
        <w:spacing w:after="20"/>
      </w:pPr>
    </w:p>
    <w:p>
      <w:pPr>
        <w:pStyle w:val="Heading2"/>
        <w:keepNext/>
      </w:pPr>
      <w:r>
        <w:t>Contents</w:t>
      </w:r>
    </w:p>
    <w:p>
      <w:pPr>
        <w:pStyle w:val="ListBullet"/>
        <w:spacing w:after="80" w:line="276" w:lineRule="auto"/>
      </w:pPr>
      <w:r>
        <w:rPr>
          <w:rFonts w:ascii="Calibri" w:hAnsi="Calibri"/>
          <w:sz w:val="21"/>
        </w:rPr>
        <w:t>1. The professional trading mindset</w:t>
      </w:r>
    </w:p>
    <w:p>
      <w:pPr>
        <w:pStyle w:val="ListBullet"/>
        <w:spacing w:after="80" w:line="276" w:lineRule="auto"/>
      </w:pPr>
      <w:r>
        <w:rPr>
          <w:rFonts w:ascii="Calibri" w:hAnsi="Calibri"/>
          <w:sz w:val="21"/>
        </w:rPr>
        <w:t>2. Read the chart from context to trigger</w:t>
      </w:r>
    </w:p>
    <w:p>
      <w:pPr>
        <w:pStyle w:val="ListBullet"/>
        <w:spacing w:after="80" w:line="276" w:lineRule="auto"/>
      </w:pPr>
      <w:r>
        <w:rPr>
          <w:rFonts w:ascii="Calibri" w:hAnsi="Calibri"/>
          <w:sz w:val="21"/>
        </w:rPr>
        <w:t>3. Structure, levels and zones</w:t>
      </w:r>
    </w:p>
    <w:p>
      <w:pPr>
        <w:pStyle w:val="ListBullet"/>
        <w:spacing w:after="80" w:line="276" w:lineRule="auto"/>
      </w:pPr>
      <w:r>
        <w:rPr>
          <w:rFonts w:ascii="Calibri" w:hAnsi="Calibri"/>
          <w:sz w:val="21"/>
        </w:rPr>
        <w:t>4. Confirming candles and retests</w:t>
      </w:r>
    </w:p>
    <w:p>
      <w:pPr>
        <w:pStyle w:val="ListBullet"/>
        <w:spacing w:after="80" w:line="276" w:lineRule="auto"/>
      </w:pPr>
      <w:r>
        <w:rPr>
          <w:rFonts w:ascii="Calibri" w:hAnsi="Calibri"/>
          <w:sz w:val="21"/>
        </w:rPr>
        <w:t>5. Entry models and when to wait</w:t>
      </w:r>
    </w:p>
    <w:p>
      <w:pPr>
        <w:pStyle w:val="ListBullet"/>
        <w:spacing w:after="80" w:line="276" w:lineRule="auto"/>
      </w:pPr>
      <w:r>
        <w:rPr>
          <w:rFonts w:ascii="Calibri" w:hAnsi="Calibri"/>
          <w:sz w:val="21"/>
        </w:rPr>
        <w:t>6. Structural stops and invalidation</w:t>
      </w:r>
    </w:p>
    <w:p>
      <w:pPr>
        <w:pStyle w:val="ListBullet"/>
        <w:spacing w:after="80" w:line="276" w:lineRule="auto"/>
      </w:pPr>
      <w:r>
        <w:rPr>
          <w:rFonts w:ascii="Calibri" w:hAnsi="Calibri"/>
          <w:sz w:val="21"/>
        </w:rPr>
        <w:t>7. Reward:risk and realistic targets</w:t>
      </w:r>
    </w:p>
    <w:p>
      <w:pPr>
        <w:pStyle w:val="ListBullet"/>
        <w:spacing w:after="80" w:line="276" w:lineRule="auto"/>
      </w:pPr>
      <w:r>
        <w:rPr>
          <w:rFonts w:ascii="Calibri" w:hAnsi="Calibri"/>
          <w:sz w:val="21"/>
        </w:rPr>
        <w:t>8. Position sizing and capital protection</w:t>
      </w:r>
    </w:p>
    <w:p>
      <w:pPr>
        <w:pStyle w:val="ListBullet"/>
        <w:spacing w:after="80" w:line="276" w:lineRule="auto"/>
      </w:pPr>
      <w:r>
        <w:rPr>
          <w:rFonts w:ascii="Calibri" w:hAnsi="Calibri"/>
          <w:sz w:val="21"/>
        </w:rPr>
        <w:t>9. Drawing and forecasting long/short positions</w:t>
      </w:r>
    </w:p>
    <w:p>
      <w:pPr>
        <w:pStyle w:val="ListBullet"/>
        <w:spacing w:after="80" w:line="276" w:lineRule="auto"/>
      </w:pPr>
      <w:r>
        <w:rPr>
          <w:rFonts w:ascii="Calibri" w:hAnsi="Calibri"/>
          <w:sz w:val="21"/>
        </w:rPr>
        <w:t>10. Trade management, journaling and review</w:t>
      </w:r>
    </w:p>
    <w:p>
      <w:pPr>
        <w:pStyle w:val="ListBullet"/>
        <w:spacing w:after="80" w:line="276" w:lineRule="auto"/>
      </w:pPr>
      <w:r>
        <w:rPr>
          <w:rFonts w:ascii="Calibri" w:hAnsi="Calibri"/>
          <w:sz w:val="21"/>
        </w:rPr>
        <w:t>Appendices: checklists, formulas, candle glossary and practice routine</w:t>
      </w:r>
    </w:p>
    <w:p>
      <w:pPr>
        <w:pStyle w:val="Heading1"/>
        <w:keepNext/>
      </w:pPr>
      <w:r>
        <w:t>1. The professional trading mindset</w:t>
      </w:r>
    </w:p>
    <w:p>
      <w:pPr>
        <w:spacing w:after="120" w:line="288" w:lineRule="auto"/>
      </w:pPr>
      <w:r>
        <w:rPr>
          <w:rFonts w:ascii="Calibri" w:hAnsi="Calibri"/>
          <w:sz w:val="21"/>
        </w:rPr>
        <w:t>Professionals do not need every move. They need repeatable decisions, controlled losses and enough clean opportunities for an edge to appear over many trades.</w:t>
      </w:r>
    </w:p>
    <w:tbl>
      <w:tblPr>
        <w:tblStyle w:val="TableGrid"/>
        <w:tblW w:type="auto" w:w="0"/>
        <w:jc w:val="center"/>
        <w:tblLayout w:type="fixed"/>
        <w:tblLook w:firstColumn="1" w:firstRow="1" w:lastColumn="0" w:lastRow="0" w:noHBand="0" w:noVBand="1" w:val="04A0"/>
      </w:tblPr>
      <w:tblGrid>
        <w:gridCol w:w="4680"/>
        <w:gridCol w:w="4680"/>
      </w:tblGrid>
      <w:tr>
        <w:tc>
          <w:tcPr>
            <w:tcW w:type="dxa" w:w="3384"/>
            <w:shd w:fill="E8EEF5"/>
            <w:tcMar>
              <w:top w:w="80" w:type="dxa"/>
              <w:start w:w="120" w:type="dxa"/>
              <w:bottom w:w="80" w:type="dxa"/>
              <w:end w:w="120" w:type="dxa"/>
            </w:tcMar>
            <w:vAlign w:val="center"/>
          </w:tcPr>
          <w:p>
            <w:r>
              <w:rPr>
                <w:rFonts w:ascii="Calibri" w:hAnsi="Calibri"/>
                <w:b/>
                <w:color w:val="0B2545"/>
                <w:sz w:val="19"/>
              </w:rPr>
              <w:t>Amateur habit</w:t>
            </w:r>
          </w:p>
        </w:tc>
        <w:tc>
          <w:tcPr>
            <w:tcW w:type="dxa" w:w="5976"/>
            <w:shd w:fill="E8EEF5"/>
            <w:tcMar>
              <w:top w:w="80" w:type="dxa"/>
              <w:start w:w="120" w:type="dxa"/>
              <w:bottom w:w="80" w:type="dxa"/>
              <w:end w:w="120" w:type="dxa"/>
            </w:tcMar>
            <w:vAlign w:val="center"/>
          </w:tcPr>
          <w:p>
            <w:r>
              <w:rPr>
                <w:rFonts w:ascii="Calibri" w:hAnsi="Calibri"/>
                <w:b/>
                <w:color w:val="0B2545"/>
                <w:sz w:val="19"/>
              </w:rPr>
              <w:t>Professional replacement</w:t>
            </w:r>
          </w:p>
        </w:tc>
      </w:tr>
      <w:tr>
        <w:tc>
          <w:tcPr>
            <w:tcW w:type="dxa" w:w="3384"/>
            <w:tcMar>
              <w:top w:w="80" w:type="dxa"/>
              <w:start w:w="120" w:type="dxa"/>
              <w:bottom w:w="80" w:type="dxa"/>
              <w:end w:w="120" w:type="dxa"/>
            </w:tcMar>
            <w:vAlign w:val="center"/>
          </w:tcPr>
          <w:p>
            <w:r>
              <w:rPr>
                <w:rFonts w:ascii="Calibri" w:hAnsi="Calibri"/>
                <w:sz w:val="18"/>
              </w:rPr>
              <w:t>Predict the next candle</w:t>
            </w:r>
          </w:p>
        </w:tc>
        <w:tc>
          <w:tcPr>
            <w:tcW w:type="dxa" w:w="5976"/>
            <w:tcMar>
              <w:top w:w="80" w:type="dxa"/>
              <w:start w:w="120" w:type="dxa"/>
              <w:bottom w:w="80" w:type="dxa"/>
              <w:end w:w="120" w:type="dxa"/>
            </w:tcMar>
            <w:vAlign w:val="center"/>
          </w:tcPr>
          <w:p>
            <w:r>
              <w:rPr>
                <w:rFonts w:ascii="Calibri" w:hAnsi="Calibri"/>
                <w:sz w:val="18"/>
              </w:rPr>
              <w:t>Define scenarios and invalidation</w:t>
            </w:r>
          </w:p>
        </w:tc>
      </w:tr>
      <w:tr>
        <w:tc>
          <w:tcPr>
            <w:tcW w:type="dxa" w:w="3384"/>
            <w:tcMar>
              <w:top w:w="80" w:type="dxa"/>
              <w:start w:w="120" w:type="dxa"/>
              <w:bottom w:w="80" w:type="dxa"/>
              <w:end w:w="120" w:type="dxa"/>
            </w:tcMar>
            <w:vAlign w:val="center"/>
          </w:tcPr>
          <w:p>
            <w:r>
              <w:rPr>
                <w:rFonts w:ascii="Calibri" w:hAnsi="Calibri"/>
                <w:sz w:val="18"/>
              </w:rPr>
              <w:t>Enter from fear of missing out</w:t>
            </w:r>
          </w:p>
        </w:tc>
        <w:tc>
          <w:tcPr>
            <w:tcW w:type="dxa" w:w="5976"/>
            <w:tcMar>
              <w:top w:w="80" w:type="dxa"/>
              <w:start w:w="120" w:type="dxa"/>
              <w:bottom w:w="80" w:type="dxa"/>
              <w:end w:w="120" w:type="dxa"/>
            </w:tcMar>
            <w:vAlign w:val="center"/>
          </w:tcPr>
          <w:p>
            <w:r>
              <w:rPr>
                <w:rFonts w:ascii="Calibri" w:hAnsi="Calibri"/>
                <w:sz w:val="18"/>
              </w:rPr>
              <w:t>Wait for location + confirmation</w:t>
            </w:r>
          </w:p>
        </w:tc>
      </w:tr>
      <w:tr>
        <w:tc>
          <w:tcPr>
            <w:tcW w:type="dxa" w:w="3384"/>
            <w:tcMar>
              <w:top w:w="80" w:type="dxa"/>
              <w:start w:w="120" w:type="dxa"/>
              <w:bottom w:w="80" w:type="dxa"/>
              <w:end w:w="120" w:type="dxa"/>
            </w:tcMar>
            <w:vAlign w:val="center"/>
          </w:tcPr>
          <w:p>
            <w:r>
              <w:rPr>
                <w:rFonts w:ascii="Calibri" w:hAnsi="Calibri"/>
                <w:sz w:val="18"/>
              </w:rPr>
              <w:t>Move the stop to avoid a loss</w:t>
            </w:r>
          </w:p>
        </w:tc>
        <w:tc>
          <w:tcPr>
            <w:tcW w:type="dxa" w:w="5976"/>
            <w:tcMar>
              <w:top w:w="80" w:type="dxa"/>
              <w:start w:w="120" w:type="dxa"/>
              <w:bottom w:w="80" w:type="dxa"/>
              <w:end w:w="120" w:type="dxa"/>
            </w:tcMar>
            <w:vAlign w:val="center"/>
          </w:tcPr>
          <w:p>
            <w:r>
              <w:rPr>
                <w:rFonts w:ascii="Calibri" w:hAnsi="Calibri"/>
                <w:sz w:val="18"/>
              </w:rPr>
              <w:t>Accept the preplanned structural stop</w:t>
            </w:r>
          </w:p>
        </w:tc>
      </w:tr>
      <w:tr>
        <w:tc>
          <w:tcPr>
            <w:tcW w:type="dxa" w:w="3384"/>
            <w:tcMar>
              <w:top w:w="80" w:type="dxa"/>
              <w:start w:w="120" w:type="dxa"/>
              <w:bottom w:w="80" w:type="dxa"/>
              <w:end w:w="120" w:type="dxa"/>
            </w:tcMar>
            <w:vAlign w:val="center"/>
          </w:tcPr>
          <w:p>
            <w:r>
              <w:rPr>
                <w:rFonts w:ascii="Calibri" w:hAnsi="Calibri"/>
                <w:sz w:val="18"/>
              </w:rPr>
              <w:t>Force 2R by inventing a distant target</w:t>
            </w:r>
          </w:p>
        </w:tc>
        <w:tc>
          <w:tcPr>
            <w:tcW w:type="dxa" w:w="5976"/>
            <w:tcMar>
              <w:top w:w="80" w:type="dxa"/>
              <w:start w:w="120" w:type="dxa"/>
              <w:bottom w:w="80" w:type="dxa"/>
              <w:end w:w="120" w:type="dxa"/>
            </w:tcMar>
            <w:vAlign w:val="center"/>
          </w:tcPr>
          <w:p>
            <w:r>
              <w:rPr>
                <w:rFonts w:ascii="Calibri" w:hAnsi="Calibri"/>
                <w:sz w:val="18"/>
              </w:rPr>
              <w:t>Skip when structure cannot realistically pay 2R</w:t>
            </w:r>
          </w:p>
        </w:tc>
      </w:tr>
      <w:tr>
        <w:tc>
          <w:tcPr>
            <w:tcW w:type="dxa" w:w="3384"/>
            <w:tcMar>
              <w:top w:w="80" w:type="dxa"/>
              <w:start w:w="120" w:type="dxa"/>
              <w:bottom w:w="80" w:type="dxa"/>
              <w:end w:w="120" w:type="dxa"/>
            </w:tcMar>
            <w:vAlign w:val="center"/>
          </w:tcPr>
          <w:p>
            <w:r>
              <w:rPr>
                <w:rFonts w:ascii="Calibri" w:hAnsi="Calibri"/>
                <w:sz w:val="18"/>
              </w:rPr>
              <w:t>Judge one result</w:t>
            </w:r>
          </w:p>
        </w:tc>
        <w:tc>
          <w:tcPr>
            <w:tcW w:type="dxa" w:w="5976"/>
            <w:tcMar>
              <w:top w:w="80" w:type="dxa"/>
              <w:start w:w="120" w:type="dxa"/>
              <w:bottom w:w="80" w:type="dxa"/>
              <w:end w:w="120" w:type="dxa"/>
            </w:tcMar>
            <w:vAlign w:val="center"/>
          </w:tcPr>
          <w:p>
            <w:r>
              <w:rPr>
                <w:rFonts w:ascii="Calibri" w:hAnsi="Calibri"/>
                <w:sz w:val="18"/>
              </w:rPr>
              <w:t>Review a sample of 20–50 rule-based trades</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F4F6F9"/>
            <w:tcMar>
              <w:top w:w="140" w:type="dxa"/>
              <w:start w:w="180" w:type="dxa"/>
              <w:bottom w:w="140" w:type="dxa"/>
              <w:end w:w="180" w:type="dxa"/>
            </w:tcMar>
          </w:tcPr>
          <w:p>
            <w:pPr>
              <w:spacing w:after="0"/>
            </w:pPr>
            <w:r>
              <w:rPr>
                <w:rFonts w:ascii="Calibri" w:hAnsi="Calibri"/>
                <w:b/>
                <w:color w:val="0B2545"/>
                <w:sz w:val="21"/>
              </w:rPr>
              <w:t xml:space="preserve">The only controllable variables  </w:t>
            </w:r>
            <w:r>
              <w:rPr>
                <w:rFonts w:ascii="Calibri" w:hAnsi="Calibri"/>
                <w:sz w:val="21"/>
              </w:rPr>
              <w:t>Setup selection, entry timing, stop location, size, target, execution and review. Outcome is not controllable.</w:t>
            </w:r>
          </w:p>
        </w:tc>
      </w:tr>
    </w:tbl>
    <w:p>
      <w:pPr>
        <w:spacing w:after="20"/>
      </w:pPr>
    </w:p>
    <w:p>
      <w:pPr>
        <w:pStyle w:val="Heading1"/>
        <w:keepNext/>
      </w:pPr>
      <w:r>
        <w:t>2. Read the chart from context to trigger</w:t>
      </w:r>
    </w:p>
    <w:p>
      <w:pPr>
        <w:pStyle w:val="ListNumber"/>
        <w:numPr>
          <w:ilvl w:val="0"/>
          <w:numId w:val="10"/>
        </w:numPr>
        <w:spacing w:after="100" w:line="276" w:lineRule="auto"/>
      </w:pPr>
      <w:r>
        <w:rPr>
          <w:rFonts w:ascii="Calibri" w:hAnsi="Calibri"/>
          <w:sz w:val="21"/>
        </w:rPr>
        <w:t>Set the timeframe and market. Use one primary execution timeframe and one higher timeframe for context.</w:t>
      </w:r>
    </w:p>
    <w:p>
      <w:pPr>
        <w:pStyle w:val="ListNumber"/>
        <w:numPr>
          <w:ilvl w:val="0"/>
          <w:numId w:val="10"/>
        </w:numPr>
        <w:spacing w:after="100" w:line="276" w:lineRule="auto"/>
      </w:pPr>
      <w:r>
        <w:rPr>
          <w:rFonts w:ascii="Calibri" w:hAnsi="Calibri"/>
          <w:sz w:val="21"/>
        </w:rPr>
        <w:t>Identify the higher-timeframe regime: uptrend, downtrend or range.</w:t>
      </w:r>
    </w:p>
    <w:p>
      <w:pPr>
        <w:pStyle w:val="ListNumber"/>
        <w:numPr>
          <w:ilvl w:val="0"/>
          <w:numId w:val="10"/>
        </w:numPr>
        <w:spacing w:after="100" w:line="276" w:lineRule="auto"/>
      </w:pPr>
      <w:r>
        <w:rPr>
          <w:rFonts w:ascii="Calibri" w:hAnsi="Calibri"/>
          <w:sz w:val="21"/>
        </w:rPr>
        <w:t>Mark major swing highs/lows and the nearest support/resistance zones.</w:t>
      </w:r>
    </w:p>
    <w:p>
      <w:pPr>
        <w:pStyle w:val="ListNumber"/>
        <w:numPr>
          <w:ilvl w:val="0"/>
          <w:numId w:val="10"/>
        </w:numPr>
        <w:spacing w:after="100" w:line="276" w:lineRule="auto"/>
      </w:pPr>
      <w:r>
        <w:rPr>
          <w:rFonts w:ascii="Calibri" w:hAnsi="Calibri"/>
          <w:sz w:val="21"/>
        </w:rPr>
        <w:t>Ask where price is located: at an edge, in the middle, extended, or retesting a broken level.</w:t>
      </w:r>
    </w:p>
    <w:p>
      <w:pPr>
        <w:pStyle w:val="ListNumber"/>
        <w:numPr>
          <w:ilvl w:val="0"/>
          <w:numId w:val="10"/>
        </w:numPr>
        <w:spacing w:after="100" w:line="276" w:lineRule="auto"/>
      </w:pPr>
      <w:r>
        <w:rPr>
          <w:rFonts w:ascii="Calibri" w:hAnsi="Calibri"/>
          <w:sz w:val="21"/>
        </w:rPr>
        <w:t>Wait for a closed-candle signal. Never use an unfinished candle as confirmation in replay.</w:t>
      </w:r>
    </w:p>
    <w:p>
      <w:pPr>
        <w:pStyle w:val="ListNumber"/>
        <w:numPr>
          <w:ilvl w:val="0"/>
          <w:numId w:val="10"/>
        </w:numPr>
        <w:spacing w:after="100" w:line="276" w:lineRule="auto"/>
      </w:pPr>
      <w:r>
        <w:rPr>
          <w:rFonts w:ascii="Calibri" w:hAnsi="Calibri"/>
          <w:sz w:val="21"/>
        </w:rPr>
        <w:t>Measure entry, structural stop and realistic target. Reject the trade if reward:risk is below 2:1.</w:t>
      </w:r>
    </w:p>
    <w:p>
      <w:pPr>
        <w:pStyle w:val="ListNumber"/>
        <w:numPr>
          <w:ilvl w:val="0"/>
          <w:numId w:val="10"/>
        </w:numPr>
        <w:spacing w:after="100" w:line="276" w:lineRule="auto"/>
      </w:pPr>
      <w:r>
        <w:rPr>
          <w:rFonts w:ascii="Calibri" w:hAnsi="Calibri"/>
          <w:sz w:val="21"/>
        </w:rPr>
        <w:t>Size the position from account risk—not from confidence or emotion.</w:t>
      </w:r>
    </w:p>
    <w:tbl>
      <w:tblPr>
        <w:tblW w:type="auto" w:w="0"/>
        <w:jc w:val="center"/>
        <w:tblLayout w:type="fixed"/>
        <w:tblLook w:firstColumn="1" w:firstRow="1" w:lastColumn="0" w:lastRow="0" w:noHBand="0" w:noVBand="1" w:val="04A0"/>
      </w:tblPr>
      <w:tblGrid>
        <w:gridCol w:w="9360"/>
      </w:tblGrid>
      <w:tr>
        <w:tc>
          <w:tcPr>
            <w:tcW w:type="dxa" w:w="9360"/>
            <w:shd w:fill="E7F4F2"/>
            <w:tcMar>
              <w:top w:w="140" w:type="dxa"/>
              <w:start w:w="180" w:type="dxa"/>
              <w:bottom w:w="140" w:type="dxa"/>
              <w:end w:w="180" w:type="dxa"/>
            </w:tcMar>
          </w:tcPr>
          <w:p>
            <w:pPr>
              <w:spacing w:after="0"/>
            </w:pPr>
            <w:r>
              <w:rPr>
                <w:rFonts w:ascii="Calibri" w:hAnsi="Calibri"/>
                <w:b/>
                <w:color w:val="0B2545"/>
                <w:sz w:val="21"/>
              </w:rPr>
              <w:t xml:space="preserve">Top-down rule  </w:t>
            </w:r>
            <w:r>
              <w:rPr>
                <w:rFonts w:ascii="Calibri" w:hAnsi="Calibri"/>
                <w:sz w:val="21"/>
              </w:rPr>
              <w:t>Context chooses the direction; location chooses interest; confirmation chooses timing; invalidation chooses the stop; available space chooses whether the trade exists.</w:t>
            </w:r>
          </w:p>
        </w:tc>
      </w:tr>
    </w:tbl>
    <w:p>
      <w:pPr>
        <w:spacing w:after="20"/>
      </w:pPr>
    </w:p>
    <w:p>
      <w:pPr>
        <w:pStyle w:val="Heading1"/>
        <w:keepNext/>
      </w:pPr>
      <w:r>
        <w:t>3. Structure, levels and zones</w:t>
      </w:r>
    </w:p>
    <w:p>
      <w:r>
        <w:drawing>
          <wp:inline xmlns:a="http://schemas.openxmlformats.org/drawingml/2006/main" xmlns:pic="http://schemas.openxmlformats.org/drawingml/2006/picture">
            <wp:extent cx="5897880" cy="2331720"/>
            <wp:docPr id="1" name="Picture 1"/>
            <wp:cNvGraphicFramePr>
              <a:graphicFrameLocks noChangeAspect="1"/>
            </wp:cNvGraphicFramePr>
            <a:graphic>
              <a:graphicData uri="http://schemas.openxmlformats.org/drawingml/2006/picture">
                <pic:pic>
                  <pic:nvPicPr>
                    <pic:cNvPr id="0" name="structure.png"/>
                    <pic:cNvPicPr/>
                  </pic:nvPicPr>
                  <pic:blipFill>
                    <a:blip r:embed="rId11"/>
                    <a:stretch>
                      <a:fillRect/>
                    </a:stretch>
                  </pic:blipFill>
                  <pic:spPr>
                    <a:xfrm>
                      <a:off x="0" y="0"/>
                      <a:ext cx="5897880" cy="2331720"/>
                    </a:xfrm>
                    <a:prstGeom prst="rect"/>
                  </pic:spPr>
                </pic:pic>
              </a:graphicData>
            </a:graphic>
          </wp:inline>
        </w:drawing>
      </w:r>
    </w:p>
    <w:p>
      <w:pPr>
        <w:jc w:val="center"/>
      </w:pPr>
      <w:r>
        <w:rPr>
          <w:rFonts w:ascii="Calibri" w:hAnsi="Calibri"/>
          <w:i/>
          <w:color w:val="5A6470"/>
          <w:sz w:val="18"/>
        </w:rPr>
        <w:t>Figure 1. Swing structure is a sequence, not a single candle.</w:t>
      </w:r>
    </w:p>
    <w:p>
      <w:pPr>
        <w:pStyle w:val="Heading2"/>
        <w:keepNext/>
      </w:pPr>
      <w:r>
        <w:t>What structure means</w:t>
      </w:r>
    </w:p>
    <w:p>
      <w:pPr>
        <w:pStyle w:val="ListBullet"/>
        <w:spacing w:after="80" w:line="276" w:lineRule="auto"/>
      </w:pPr>
      <w:r>
        <w:rPr>
          <w:rFonts w:ascii="Calibri" w:hAnsi="Calibri"/>
          <w:sz w:val="21"/>
        </w:rPr>
        <w:t>Uptrend: repeated higher highs (HH) and higher lows (HL). Prefer longs on pullbacks or successful breakout retests.</w:t>
      </w:r>
    </w:p>
    <w:p>
      <w:pPr>
        <w:pStyle w:val="ListBullet"/>
        <w:spacing w:after="80" w:line="276" w:lineRule="auto"/>
      </w:pPr>
      <w:r>
        <w:rPr>
          <w:rFonts w:ascii="Calibri" w:hAnsi="Calibri"/>
          <w:sz w:val="21"/>
        </w:rPr>
        <w:t>Downtrend: repeated lower lows (LL) and lower highs (LH). Prefer shorts on rallies or failed support retests.</w:t>
      </w:r>
    </w:p>
    <w:p>
      <w:pPr>
        <w:pStyle w:val="ListBullet"/>
        <w:spacing w:after="80" w:line="276" w:lineRule="auto"/>
      </w:pPr>
      <w:r>
        <w:rPr>
          <w:rFonts w:ascii="Calibri" w:hAnsi="Calibri"/>
          <w:sz w:val="21"/>
        </w:rPr>
        <w:t>Range: price rotates between support and resistance without sustained progress. Trade edges only; avoid the middle.</w:t>
      </w:r>
    </w:p>
    <w:p>
      <w:pPr>
        <w:pStyle w:val="ListBullet"/>
        <w:spacing w:after="80" w:line="276" w:lineRule="auto"/>
      </w:pPr>
      <w:r>
        <w:rPr>
          <w:rFonts w:ascii="Calibri" w:hAnsi="Calibri"/>
          <w:sz w:val="21"/>
        </w:rPr>
        <w:t>Structure change: a meaningful swing breaks, then price fails to restore the previous sequence. One wick alone is usually insufficient.</w:t>
      </w:r>
    </w:p>
    <w:p>
      <w:pPr>
        <w:pStyle w:val="Heading2"/>
        <w:keepNext/>
      </w:pPr>
      <w:r>
        <w:t>A level is usually a zone</w:t>
      </w:r>
    </w:p>
    <w:p>
      <w:pPr>
        <w:spacing w:after="120" w:line="288" w:lineRule="auto"/>
      </w:pPr>
      <w:r>
        <w:rPr>
          <w:rFonts w:ascii="Calibri" w:hAnsi="Calibri"/>
          <w:sz w:val="21"/>
        </w:rPr>
        <w:t>Wicks show rejection extremes; candle bodies show where the market accepted price into the close. Mark a narrow zone that includes repeated closes and the most relevant rejection wicks. Do not widen it until every price becomes ‘support.’</w:t>
      </w:r>
    </w:p>
    <w:tbl>
      <w:tblPr>
        <w:tblStyle w:val="TableGrid"/>
        <w:tblW w:type="auto" w:w="0"/>
        <w:jc w:val="center"/>
        <w:tblLayout w:type="fixed"/>
        <w:tblLook w:firstColumn="1" w:firstRow="1" w:lastColumn="0" w:lastRow="0" w:noHBand="0" w:noVBand="1" w:val="04A0"/>
      </w:tblPr>
      <w:tblGrid>
        <w:gridCol w:w="4680"/>
        <w:gridCol w:w="4680"/>
      </w:tblGrid>
      <w:tr>
        <w:tc>
          <w:tcPr>
            <w:tcW w:type="dxa" w:w="3240"/>
            <w:shd w:fill="E8EEF5"/>
            <w:tcMar>
              <w:top w:w="80" w:type="dxa"/>
              <w:start w:w="120" w:type="dxa"/>
              <w:bottom w:w="80" w:type="dxa"/>
              <w:end w:w="120" w:type="dxa"/>
            </w:tcMar>
            <w:vAlign w:val="center"/>
          </w:tcPr>
          <w:p>
            <w:r>
              <w:rPr>
                <w:rFonts w:ascii="Calibri" w:hAnsi="Calibri"/>
                <w:b/>
                <w:color w:val="0B2545"/>
                <w:sz w:val="19"/>
              </w:rPr>
              <w:t>Observation</w:t>
            </w:r>
          </w:p>
        </w:tc>
        <w:tc>
          <w:tcPr>
            <w:tcW w:type="dxa" w:w="6120"/>
            <w:shd w:fill="E8EEF5"/>
            <w:tcMar>
              <w:top w:w="80" w:type="dxa"/>
              <w:start w:w="120" w:type="dxa"/>
              <w:bottom w:w="80" w:type="dxa"/>
              <w:end w:w="120" w:type="dxa"/>
            </w:tcMar>
            <w:vAlign w:val="center"/>
          </w:tcPr>
          <w:p>
            <w:r>
              <w:rPr>
                <w:rFonts w:ascii="Calibri" w:hAnsi="Calibri"/>
                <w:b/>
                <w:color w:val="0B2545"/>
                <w:sz w:val="19"/>
              </w:rPr>
              <w:t>Interpretation</w:t>
            </w:r>
          </w:p>
        </w:tc>
      </w:tr>
      <w:tr>
        <w:tc>
          <w:tcPr>
            <w:tcW w:type="dxa" w:w="3240"/>
            <w:tcMar>
              <w:top w:w="80" w:type="dxa"/>
              <w:start w:w="120" w:type="dxa"/>
              <w:bottom w:w="80" w:type="dxa"/>
              <w:end w:w="120" w:type="dxa"/>
            </w:tcMar>
            <w:vAlign w:val="center"/>
          </w:tcPr>
          <w:p>
            <w:r>
              <w:rPr>
                <w:rFonts w:ascii="Calibri" w:hAnsi="Calibri"/>
                <w:sz w:val="18"/>
              </w:rPr>
              <w:t>Support below current price</w:t>
            </w:r>
          </w:p>
        </w:tc>
        <w:tc>
          <w:tcPr>
            <w:tcW w:type="dxa" w:w="6120"/>
            <w:tcMar>
              <w:top w:w="80" w:type="dxa"/>
              <w:start w:w="120" w:type="dxa"/>
              <w:bottom w:w="80" w:type="dxa"/>
              <w:end w:w="120" w:type="dxa"/>
            </w:tcMar>
            <w:vAlign w:val="center"/>
          </w:tcPr>
          <w:p>
            <w:r>
              <w:rPr>
                <w:rFonts w:ascii="Calibri" w:hAnsi="Calibri"/>
                <w:sz w:val="18"/>
              </w:rPr>
              <w:t>Area where buyers previously absorbed selling; a long may use it for location or invalidation.</w:t>
            </w:r>
          </w:p>
        </w:tc>
      </w:tr>
      <w:tr>
        <w:tc>
          <w:tcPr>
            <w:tcW w:type="dxa" w:w="3240"/>
            <w:tcMar>
              <w:top w:w="80" w:type="dxa"/>
              <w:start w:w="120" w:type="dxa"/>
              <w:bottom w:w="80" w:type="dxa"/>
              <w:end w:w="120" w:type="dxa"/>
            </w:tcMar>
            <w:vAlign w:val="center"/>
          </w:tcPr>
          <w:p>
            <w:r>
              <w:rPr>
                <w:rFonts w:ascii="Calibri" w:hAnsi="Calibri"/>
                <w:sz w:val="18"/>
              </w:rPr>
              <w:t>Resistance above current price</w:t>
            </w:r>
          </w:p>
        </w:tc>
        <w:tc>
          <w:tcPr>
            <w:tcW w:type="dxa" w:w="6120"/>
            <w:tcMar>
              <w:top w:w="80" w:type="dxa"/>
              <w:start w:w="120" w:type="dxa"/>
              <w:bottom w:w="80" w:type="dxa"/>
              <w:end w:w="120" w:type="dxa"/>
            </w:tcMar>
            <w:vAlign w:val="center"/>
          </w:tcPr>
          <w:p>
            <w:r>
              <w:rPr>
                <w:rFonts w:ascii="Calibri" w:hAnsi="Calibri"/>
                <w:sz w:val="18"/>
              </w:rPr>
              <w:t>Area where sellers previously limited price; it can reduce long reward or provide short location.</w:t>
            </w:r>
          </w:p>
        </w:tc>
      </w:tr>
      <w:tr>
        <w:tc>
          <w:tcPr>
            <w:tcW w:type="dxa" w:w="3240"/>
            <w:tcMar>
              <w:top w:w="80" w:type="dxa"/>
              <w:start w:w="120" w:type="dxa"/>
              <w:bottom w:w="80" w:type="dxa"/>
              <w:end w:w="120" w:type="dxa"/>
            </w:tcMar>
            <w:vAlign w:val="center"/>
          </w:tcPr>
          <w:p>
            <w:r>
              <w:rPr>
                <w:rFonts w:ascii="Calibri" w:hAnsi="Calibri"/>
                <w:sz w:val="18"/>
              </w:rPr>
              <w:t>Broken resistance retested from above</w:t>
            </w:r>
          </w:p>
        </w:tc>
        <w:tc>
          <w:tcPr>
            <w:tcW w:type="dxa" w:w="6120"/>
            <w:tcMar>
              <w:top w:w="80" w:type="dxa"/>
              <w:start w:w="120" w:type="dxa"/>
              <w:bottom w:w="80" w:type="dxa"/>
              <w:end w:w="120" w:type="dxa"/>
            </w:tcMar>
            <w:vAlign w:val="center"/>
          </w:tcPr>
          <w:p>
            <w:r>
              <w:rPr>
                <w:rFonts w:ascii="Calibri" w:hAnsi="Calibri"/>
                <w:sz w:val="18"/>
              </w:rPr>
              <w:t>May become support if price rejects it and closes back above.</w:t>
            </w:r>
          </w:p>
        </w:tc>
      </w:tr>
      <w:tr>
        <w:tc>
          <w:tcPr>
            <w:tcW w:type="dxa" w:w="3240"/>
            <w:tcMar>
              <w:top w:w="80" w:type="dxa"/>
              <w:start w:w="120" w:type="dxa"/>
              <w:bottom w:w="80" w:type="dxa"/>
              <w:end w:w="120" w:type="dxa"/>
            </w:tcMar>
            <w:vAlign w:val="center"/>
          </w:tcPr>
          <w:p>
            <w:r>
              <w:rPr>
                <w:rFonts w:ascii="Calibri" w:hAnsi="Calibri"/>
                <w:sz w:val="18"/>
              </w:rPr>
              <w:t>Broken support retested from below</w:t>
            </w:r>
          </w:p>
        </w:tc>
        <w:tc>
          <w:tcPr>
            <w:tcW w:type="dxa" w:w="6120"/>
            <w:tcMar>
              <w:top w:w="80" w:type="dxa"/>
              <w:start w:w="120" w:type="dxa"/>
              <w:bottom w:w="80" w:type="dxa"/>
              <w:end w:w="120" w:type="dxa"/>
            </w:tcMar>
            <w:vAlign w:val="center"/>
          </w:tcPr>
          <w:p>
            <w:r>
              <w:rPr>
                <w:rFonts w:ascii="Calibri" w:hAnsi="Calibri"/>
                <w:sz w:val="18"/>
              </w:rPr>
              <w:t>May become resistance if price rejects it and closes back below.</w:t>
            </w:r>
          </w:p>
        </w:tc>
      </w:tr>
    </w:tbl>
    <w:p>
      <w:pPr>
        <w:spacing w:after="20"/>
      </w:pPr>
    </w:p>
    <w:p>
      <w:pPr>
        <w:pStyle w:val="Heading1"/>
        <w:keepNext/>
      </w:pPr>
      <w:r>
        <w:t>4. Confirming candles and retests</w:t>
      </w:r>
    </w:p>
    <w:p>
      <w:r>
        <w:drawing>
          <wp:inline xmlns:a="http://schemas.openxmlformats.org/drawingml/2006/main" xmlns:pic="http://schemas.openxmlformats.org/drawingml/2006/picture">
            <wp:extent cx="5897880" cy="2331720"/>
            <wp:docPr id="2" name="Picture 2"/>
            <wp:cNvGraphicFramePr>
              <a:graphicFrameLocks noChangeAspect="1"/>
            </wp:cNvGraphicFramePr>
            <a:graphic>
              <a:graphicData uri="http://schemas.openxmlformats.org/drawingml/2006/picture">
                <pic:pic>
                  <pic:nvPicPr>
                    <pic:cNvPr id="0" name="confirmation.png"/>
                    <pic:cNvPicPr/>
                  </pic:nvPicPr>
                  <pic:blipFill>
                    <a:blip r:embed="rId12"/>
                    <a:stretch>
                      <a:fillRect/>
                    </a:stretch>
                  </pic:blipFill>
                  <pic:spPr>
                    <a:xfrm>
                      <a:off x="0" y="0"/>
                      <a:ext cx="5897880" cy="2331720"/>
                    </a:xfrm>
                    <a:prstGeom prst="rect"/>
                  </pic:spPr>
                </pic:pic>
              </a:graphicData>
            </a:graphic>
          </wp:inline>
        </w:drawing>
      </w:r>
    </w:p>
    <w:p>
      <w:pPr>
        <w:jc w:val="center"/>
      </w:pPr>
      <w:r>
        <w:rPr>
          <w:rFonts w:ascii="Calibri" w:hAnsi="Calibri"/>
          <w:i/>
          <w:color w:val="5A6470"/>
          <w:sz w:val="18"/>
        </w:rPr>
        <w:t>Figure 2. The retest proves whether a breakout level can change role.</w:t>
      </w:r>
    </w:p>
    <w:p>
      <w:pPr>
        <w:pStyle w:val="Heading2"/>
        <w:keepNext/>
      </w:pPr>
      <w:r>
        <w:t>What makes a candle confirming?</w:t>
      </w:r>
    </w:p>
    <w:p>
      <w:pPr>
        <w:spacing w:after="120" w:line="288" w:lineRule="auto"/>
      </w:pPr>
      <w:r>
        <w:rPr>
          <w:rFonts w:ascii="Calibri" w:hAnsi="Calibri"/>
          <w:sz w:val="21"/>
        </w:rPr>
        <w:t>A confirming candle closes in a way that supports the trade thesis at a meaningful location. Its value comes from context, not its name.</w:t>
      </w:r>
    </w:p>
    <w:p>
      <w:pPr>
        <w:pStyle w:val="ListBullet"/>
        <w:spacing w:after="80" w:line="276" w:lineRule="auto"/>
      </w:pPr>
      <w:r>
        <w:rPr>
          <w:rFonts w:ascii="Calibri" w:hAnsi="Calibri"/>
          <w:sz w:val="21"/>
        </w:rPr>
        <w:t>Close: finishes beyond or back inside the relevant zone—not merely a wick through it.</w:t>
      </w:r>
    </w:p>
    <w:p>
      <w:pPr>
        <w:pStyle w:val="ListBullet"/>
        <w:spacing w:after="80" w:line="276" w:lineRule="auto"/>
      </w:pPr>
      <w:r>
        <w:rPr>
          <w:rFonts w:ascii="Calibri" w:hAnsi="Calibri"/>
          <w:sz w:val="21"/>
        </w:rPr>
        <w:t>Body: meaningful relative to recent candles; a tiny body signals indecision.</w:t>
      </w:r>
    </w:p>
    <w:p>
      <w:pPr>
        <w:pStyle w:val="ListBullet"/>
        <w:spacing w:after="80" w:line="276" w:lineRule="auto"/>
      </w:pPr>
      <w:r>
        <w:rPr>
          <w:rFonts w:ascii="Calibri" w:hAnsi="Calibri"/>
          <w:sz w:val="21"/>
        </w:rPr>
        <w:t>Rejection: wick rejects the wrong side while the close returns to the intended side.</w:t>
      </w:r>
    </w:p>
    <w:p>
      <w:pPr>
        <w:pStyle w:val="ListBullet"/>
        <w:spacing w:after="80" w:line="276" w:lineRule="auto"/>
      </w:pPr>
      <w:r>
        <w:rPr>
          <w:rFonts w:ascii="Calibri" w:hAnsi="Calibri"/>
          <w:sz w:val="21"/>
        </w:rPr>
        <w:t>Follow-through: the next candle does not instantly erase the signal. A retest and response provide stronger evidence.</w:t>
      </w:r>
    </w:p>
    <w:p>
      <w:pPr>
        <w:pStyle w:val="ListBullet"/>
        <w:spacing w:after="80" w:line="276" w:lineRule="auto"/>
      </w:pPr>
      <w:r>
        <w:rPr>
          <w:rFonts w:ascii="Calibri" w:hAnsi="Calibri"/>
          <w:sz w:val="21"/>
        </w:rPr>
        <w:t>Volume (optional): expansion can support a breakout, but volume never repairs bad structure or poor reward space.</w:t>
      </w:r>
    </w:p>
    <w:p>
      <w:pPr>
        <w:pStyle w:val="Heading2"/>
        <w:keepNext/>
      </w:pPr>
      <w:r>
        <w:t>When to react</w:t>
      </w:r>
    </w:p>
    <w:p>
      <w:pPr>
        <w:spacing w:after="120" w:line="288" w:lineRule="auto"/>
      </w:pPr>
      <w:r>
        <w:rPr>
          <w:rFonts w:ascii="Calibri" w:hAnsi="Calibri"/>
          <w:sz w:val="21"/>
        </w:rPr>
        <w:t>Conservative entry: after the confirming candle closes, enter on the next candle only if price is still near the planned level. Stronger entry: wait for a retest of the level and a second response candle. Do not chase if the next candle opens far beyond the planned entry; recalculate the entire trade.</w:t>
      </w:r>
    </w:p>
    <w:tbl>
      <w:tblPr>
        <w:tblW w:type="auto" w:w="0"/>
        <w:jc w:val="center"/>
        <w:tblLayout w:type="fixed"/>
        <w:tblLook w:firstColumn="1" w:firstRow="1" w:lastColumn="0" w:lastRow="0" w:noHBand="0" w:noVBand="1" w:val="04A0"/>
      </w:tblPr>
      <w:tblGrid>
        <w:gridCol w:w="9360"/>
      </w:tblGrid>
      <w:tr>
        <w:tc>
          <w:tcPr>
            <w:tcW w:type="dxa" w:w="9360"/>
            <w:shd w:fill="E7F4F2"/>
            <w:tcMar>
              <w:top w:w="140" w:type="dxa"/>
              <w:start w:w="180" w:type="dxa"/>
              <w:bottom w:w="140" w:type="dxa"/>
              <w:end w:w="180" w:type="dxa"/>
            </w:tcMar>
          </w:tcPr>
          <w:p>
            <w:pPr>
              <w:spacing w:after="0"/>
            </w:pPr>
            <w:r>
              <w:rPr>
                <w:rFonts w:ascii="Calibri" w:hAnsi="Calibri"/>
                <w:b/>
                <w:color w:val="0B2545"/>
                <w:sz w:val="21"/>
              </w:rPr>
              <w:t xml:space="preserve">Retest holds  </w:t>
            </w:r>
            <w:r>
              <w:rPr>
                <w:rFonts w:ascii="Calibri" w:hAnsi="Calibri"/>
                <w:sz w:val="21"/>
              </w:rPr>
              <w:t>Price returns to the broken zone, cannot close back through it, and produces a response in the breakout direction. The market has tested the level twice: first by breaking it, then by defending it.</w:t>
            </w:r>
          </w:p>
        </w:tc>
      </w:tr>
    </w:tbl>
    <w:p>
      <w:pPr>
        <w:spacing w:after="20"/>
      </w:pPr>
    </w:p>
    <w:p>
      <w:pPr>
        <w:pStyle w:val="Heading1"/>
        <w:keepNext/>
      </w:pPr>
      <w:r>
        <w:t>5. Entry models and when to wait</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E8EEF5"/>
            <w:tcMar>
              <w:top w:w="80" w:type="dxa"/>
              <w:start w:w="120" w:type="dxa"/>
              <w:bottom w:w="80" w:type="dxa"/>
              <w:end w:w="120" w:type="dxa"/>
            </w:tcMar>
            <w:vAlign w:val="center"/>
          </w:tcPr>
          <w:p>
            <w:r>
              <w:rPr>
                <w:rFonts w:ascii="Calibri" w:hAnsi="Calibri"/>
                <w:b/>
                <w:color w:val="0B2545"/>
                <w:sz w:val="19"/>
              </w:rPr>
              <w:t>Model</w:t>
            </w:r>
          </w:p>
        </w:tc>
        <w:tc>
          <w:tcPr>
            <w:tcW w:type="dxa" w:w="3960"/>
            <w:shd w:fill="E8EEF5"/>
            <w:tcMar>
              <w:top w:w="80" w:type="dxa"/>
              <w:start w:w="120" w:type="dxa"/>
              <w:bottom w:w="80" w:type="dxa"/>
              <w:end w:w="120" w:type="dxa"/>
            </w:tcMar>
            <w:vAlign w:val="center"/>
          </w:tcPr>
          <w:p>
            <w:r>
              <w:rPr>
                <w:rFonts w:ascii="Calibri" w:hAnsi="Calibri"/>
                <w:b/>
                <w:color w:val="0B2545"/>
                <w:sz w:val="19"/>
              </w:rPr>
              <w:t>Required evidence</w:t>
            </w:r>
          </w:p>
        </w:tc>
        <w:tc>
          <w:tcPr>
            <w:tcW w:type="dxa" w:w="3312"/>
            <w:shd w:fill="E8EEF5"/>
            <w:tcMar>
              <w:top w:w="80" w:type="dxa"/>
              <w:start w:w="120" w:type="dxa"/>
              <w:bottom w:w="80" w:type="dxa"/>
              <w:end w:w="120" w:type="dxa"/>
            </w:tcMar>
            <w:vAlign w:val="center"/>
          </w:tcPr>
          <w:p>
            <w:r>
              <w:rPr>
                <w:rFonts w:ascii="Calibri" w:hAnsi="Calibri"/>
                <w:b/>
                <w:color w:val="0B2545"/>
                <w:sz w:val="19"/>
              </w:rPr>
              <w:t>Common failure</w:t>
            </w:r>
          </w:p>
        </w:tc>
      </w:tr>
      <w:tr>
        <w:tc>
          <w:tcPr>
            <w:tcW w:type="dxa" w:w="2088"/>
            <w:tcMar>
              <w:top w:w="80" w:type="dxa"/>
              <w:start w:w="120" w:type="dxa"/>
              <w:bottom w:w="80" w:type="dxa"/>
              <w:end w:w="120" w:type="dxa"/>
            </w:tcMar>
            <w:vAlign w:val="center"/>
          </w:tcPr>
          <w:p>
            <w:r>
              <w:rPr>
                <w:rFonts w:ascii="Calibri" w:hAnsi="Calibri"/>
                <w:sz w:val="18"/>
              </w:rPr>
              <w:t>Breakout + retest</w:t>
            </w:r>
          </w:p>
        </w:tc>
        <w:tc>
          <w:tcPr>
            <w:tcW w:type="dxa" w:w="3960"/>
            <w:tcMar>
              <w:top w:w="80" w:type="dxa"/>
              <w:start w:w="120" w:type="dxa"/>
              <w:bottom w:w="80" w:type="dxa"/>
              <w:end w:w="120" w:type="dxa"/>
            </w:tcMar>
            <w:vAlign w:val="center"/>
          </w:tcPr>
          <w:p>
            <w:r>
              <w:rPr>
                <w:rFonts w:ascii="Calibri" w:hAnsi="Calibri"/>
                <w:sz w:val="18"/>
              </w:rPr>
              <w:t>Close beyond zone; retest holds; response candle</w:t>
            </w:r>
          </w:p>
        </w:tc>
        <w:tc>
          <w:tcPr>
            <w:tcW w:type="dxa" w:w="3312"/>
            <w:tcMar>
              <w:top w:w="80" w:type="dxa"/>
              <w:start w:w="120" w:type="dxa"/>
              <w:bottom w:w="80" w:type="dxa"/>
              <w:end w:w="120" w:type="dxa"/>
            </w:tcMar>
            <w:vAlign w:val="center"/>
          </w:tcPr>
          <w:p>
            <w:r>
              <w:rPr>
                <w:rFonts w:ascii="Calibri" w:hAnsi="Calibri"/>
                <w:sz w:val="18"/>
              </w:rPr>
              <w:t>Entering the first wick through resistance</w:t>
            </w:r>
          </w:p>
        </w:tc>
      </w:tr>
      <w:tr>
        <w:tc>
          <w:tcPr>
            <w:tcW w:type="dxa" w:w="2088"/>
            <w:tcMar>
              <w:top w:w="80" w:type="dxa"/>
              <w:start w:w="120" w:type="dxa"/>
              <w:bottom w:w="80" w:type="dxa"/>
              <w:end w:w="120" w:type="dxa"/>
            </w:tcMar>
            <w:vAlign w:val="center"/>
          </w:tcPr>
          <w:p>
            <w:r>
              <w:rPr>
                <w:rFonts w:ascii="Calibri" w:hAnsi="Calibri"/>
                <w:sz w:val="18"/>
              </w:rPr>
              <w:t>Pullback continuation</w:t>
            </w:r>
          </w:p>
        </w:tc>
        <w:tc>
          <w:tcPr>
            <w:tcW w:type="dxa" w:w="3960"/>
            <w:tcMar>
              <w:top w:w="80" w:type="dxa"/>
              <w:start w:w="120" w:type="dxa"/>
              <w:bottom w:w="80" w:type="dxa"/>
              <w:end w:w="120" w:type="dxa"/>
            </w:tcMar>
            <w:vAlign w:val="center"/>
          </w:tcPr>
          <w:p>
            <w:r>
              <w:rPr>
                <w:rFonts w:ascii="Calibri" w:hAnsi="Calibri"/>
                <w:sz w:val="18"/>
              </w:rPr>
              <w:t>Trend intact; pullback reaches support; rejection closes with trend</w:t>
            </w:r>
          </w:p>
        </w:tc>
        <w:tc>
          <w:tcPr>
            <w:tcW w:type="dxa" w:w="3312"/>
            <w:tcMar>
              <w:top w:w="80" w:type="dxa"/>
              <w:start w:w="120" w:type="dxa"/>
              <w:bottom w:w="80" w:type="dxa"/>
              <w:end w:w="120" w:type="dxa"/>
            </w:tcMar>
            <w:vAlign w:val="center"/>
          </w:tcPr>
          <w:p>
            <w:r>
              <w:rPr>
                <w:rFonts w:ascii="Calibri" w:hAnsi="Calibri"/>
                <w:sz w:val="18"/>
              </w:rPr>
              <w:t>Buying in the middle after price already expanded</w:t>
            </w:r>
          </w:p>
        </w:tc>
      </w:tr>
      <w:tr>
        <w:tc>
          <w:tcPr>
            <w:tcW w:type="dxa" w:w="2088"/>
            <w:tcMar>
              <w:top w:w="80" w:type="dxa"/>
              <w:start w:w="120" w:type="dxa"/>
              <w:bottom w:w="80" w:type="dxa"/>
              <w:end w:w="120" w:type="dxa"/>
            </w:tcMar>
            <w:vAlign w:val="center"/>
          </w:tcPr>
          <w:p>
            <w:r>
              <w:rPr>
                <w:rFonts w:ascii="Calibri" w:hAnsi="Calibri"/>
                <w:sz w:val="18"/>
              </w:rPr>
              <w:t>Range edge rejection</w:t>
            </w:r>
          </w:p>
        </w:tc>
        <w:tc>
          <w:tcPr>
            <w:tcW w:type="dxa" w:w="3960"/>
            <w:tcMar>
              <w:top w:w="80" w:type="dxa"/>
              <w:start w:w="120" w:type="dxa"/>
              <w:bottom w:w="80" w:type="dxa"/>
              <w:end w:w="120" w:type="dxa"/>
            </w:tcMar>
            <w:vAlign w:val="center"/>
          </w:tcPr>
          <w:p>
            <w:r>
              <w:rPr>
                <w:rFonts w:ascii="Calibri" w:hAnsi="Calibri"/>
                <w:sz w:val="18"/>
              </w:rPr>
              <w:t>Repeated edge; rejection; target toward opposite side</w:t>
            </w:r>
          </w:p>
        </w:tc>
        <w:tc>
          <w:tcPr>
            <w:tcW w:type="dxa" w:w="3312"/>
            <w:tcMar>
              <w:top w:w="80" w:type="dxa"/>
              <w:start w:w="120" w:type="dxa"/>
              <w:bottom w:w="80" w:type="dxa"/>
              <w:end w:w="120" w:type="dxa"/>
            </w:tcMar>
            <w:vAlign w:val="center"/>
          </w:tcPr>
          <w:p>
            <w:r>
              <w:rPr>
                <w:rFonts w:ascii="Calibri" w:hAnsi="Calibri"/>
                <w:sz w:val="18"/>
              </w:rPr>
              <w:t>Trading the center where reward is limited</w:t>
            </w:r>
          </w:p>
        </w:tc>
      </w:tr>
      <w:tr>
        <w:tc>
          <w:tcPr>
            <w:tcW w:type="dxa" w:w="2088"/>
            <w:tcMar>
              <w:top w:w="80" w:type="dxa"/>
              <w:start w:w="120" w:type="dxa"/>
              <w:bottom w:w="80" w:type="dxa"/>
              <w:end w:w="120" w:type="dxa"/>
            </w:tcMar>
            <w:vAlign w:val="center"/>
          </w:tcPr>
          <w:p>
            <w:r>
              <w:rPr>
                <w:rFonts w:ascii="Calibri" w:hAnsi="Calibri"/>
                <w:sz w:val="18"/>
              </w:rPr>
              <w:t>Structure reversal</w:t>
            </w:r>
          </w:p>
        </w:tc>
        <w:tc>
          <w:tcPr>
            <w:tcW w:type="dxa" w:w="3960"/>
            <w:tcMar>
              <w:top w:w="80" w:type="dxa"/>
              <w:start w:w="120" w:type="dxa"/>
              <w:bottom w:w="80" w:type="dxa"/>
              <w:end w:w="120" w:type="dxa"/>
            </w:tcMar>
            <w:vAlign w:val="center"/>
          </w:tcPr>
          <w:p>
            <w:r>
              <w:rPr>
                <w:rFonts w:ascii="Calibri" w:hAnsi="Calibri"/>
                <w:sz w:val="18"/>
              </w:rPr>
              <w:t>Sweep/rejection; break of swing; lower high or higher low retest</w:t>
            </w:r>
          </w:p>
        </w:tc>
        <w:tc>
          <w:tcPr>
            <w:tcW w:type="dxa" w:w="3312"/>
            <w:tcMar>
              <w:top w:w="80" w:type="dxa"/>
              <w:start w:w="120" w:type="dxa"/>
              <w:bottom w:w="80" w:type="dxa"/>
              <w:end w:w="120" w:type="dxa"/>
            </w:tcMar>
            <w:vAlign w:val="center"/>
          </w:tcPr>
          <w:p>
            <w:r>
              <w:rPr>
                <w:rFonts w:ascii="Calibri" w:hAnsi="Calibri"/>
                <w:sz w:val="18"/>
              </w:rPr>
              <w:t>Calling a top/bottom from RSI alone</w:t>
            </w:r>
          </w:p>
        </w:tc>
      </w:tr>
    </w:tbl>
    <w:p>
      <w:pPr>
        <w:spacing w:after="20"/>
      </w:pPr>
    </w:p>
    <w:p>
      <w:pPr>
        <w:pStyle w:val="Heading2"/>
        <w:keepNext/>
      </w:pPr>
      <w:r>
        <w:t>The no-trade decision</w:t>
      </w:r>
    </w:p>
    <w:p>
      <w:pPr>
        <w:pStyle w:val="ListBullet"/>
        <w:spacing w:after="80" w:line="276" w:lineRule="auto"/>
      </w:pPr>
      <w:r>
        <w:rPr>
          <w:rFonts w:ascii="Calibri" w:hAnsi="Calibri"/>
          <w:sz w:val="21"/>
        </w:rPr>
        <w:t>No clear level or swing structure.</w:t>
      </w:r>
    </w:p>
    <w:p>
      <w:pPr>
        <w:pStyle w:val="ListBullet"/>
        <w:spacing w:after="80" w:line="276" w:lineRule="auto"/>
      </w:pPr>
      <w:r>
        <w:rPr>
          <w:rFonts w:ascii="Calibri" w:hAnsi="Calibri"/>
          <w:sz w:val="21"/>
        </w:rPr>
        <w:t>Entry is in the middle of a range.</w:t>
      </w:r>
    </w:p>
    <w:p>
      <w:pPr>
        <w:pStyle w:val="ListBullet"/>
        <w:spacing w:after="80" w:line="276" w:lineRule="auto"/>
      </w:pPr>
      <w:r>
        <w:rPr>
          <w:rFonts w:ascii="Calibri" w:hAnsi="Calibri"/>
          <w:sz w:val="21"/>
        </w:rPr>
        <w:t>Confirmation candle is unfinished.</w:t>
      </w:r>
    </w:p>
    <w:p>
      <w:pPr>
        <w:pStyle w:val="ListBullet"/>
        <w:spacing w:after="80" w:line="276" w:lineRule="auto"/>
      </w:pPr>
      <w:r>
        <w:rPr>
          <w:rFonts w:ascii="Calibri" w:hAnsi="Calibri"/>
          <w:sz w:val="21"/>
        </w:rPr>
        <w:t>Stop must sit inside normal candle noise.</w:t>
      </w:r>
    </w:p>
    <w:p>
      <w:pPr>
        <w:pStyle w:val="ListBullet"/>
        <w:spacing w:after="80" w:line="276" w:lineRule="auto"/>
      </w:pPr>
      <w:r>
        <w:rPr>
          <w:rFonts w:ascii="Calibri" w:hAnsi="Calibri"/>
          <w:sz w:val="21"/>
        </w:rPr>
        <w:t>Nearest opposing level prevents a realistic 2R target.</w:t>
      </w:r>
    </w:p>
    <w:p>
      <w:pPr>
        <w:pStyle w:val="ListBullet"/>
        <w:spacing w:after="80" w:line="276" w:lineRule="auto"/>
      </w:pPr>
      <w:r>
        <w:rPr>
          <w:rFonts w:ascii="Calibri" w:hAnsi="Calibri"/>
          <w:sz w:val="21"/>
        </w:rPr>
        <w:t>Price has already run far from the planned entry.</w:t>
      </w:r>
    </w:p>
    <w:p>
      <w:pPr>
        <w:pStyle w:val="ListBullet"/>
        <w:spacing w:after="80" w:line="276" w:lineRule="auto"/>
      </w:pPr>
      <w:r>
        <w:rPr>
          <w:rFonts w:ascii="Calibri" w:hAnsi="Calibri"/>
          <w:sz w:val="21"/>
        </w:rPr>
        <w:t>High-impact event risk is unknown or imminent.</w:t>
      </w:r>
    </w:p>
    <w:p>
      <w:pPr>
        <w:pStyle w:val="ListBullet"/>
        <w:spacing w:after="80" w:line="276" w:lineRule="auto"/>
      </w:pPr>
      <w:r>
        <w:rPr>
          <w:rFonts w:ascii="Calibri" w:hAnsi="Calibri"/>
          <w:sz w:val="21"/>
        </w:rPr>
        <w:t>You are trying to recover a previous loss.</w:t>
      </w:r>
    </w:p>
    <w:p>
      <w:pPr>
        <w:pStyle w:val="Heading1"/>
        <w:keepNext/>
      </w:pPr>
      <w:r>
        <w:t>6. Structural stops and invalidation</w:t>
      </w:r>
    </w:p>
    <w:p>
      <w:pPr>
        <w:spacing w:after="120" w:line="288" w:lineRule="auto"/>
      </w:pPr>
      <w:r>
        <w:rPr>
          <w:rFonts w:ascii="Calibri" w:hAnsi="Calibri"/>
          <w:sz w:val="21"/>
        </w:rPr>
        <w:t>A structural stop is placed where the trade thesis is objectively wrong. It is not an arbitrary percentage and not the smallest distance that makes the position tool display 2R.</w:t>
      </w:r>
    </w:p>
    <w:tbl>
      <w:tblPr>
        <w:tblStyle w:val="TableGrid"/>
        <w:tblW w:type="auto" w:w="0"/>
        <w:jc w:val="center"/>
        <w:tblLayout w:type="fixed"/>
        <w:tblLook w:firstColumn="1" w:firstRow="1" w:lastColumn="0" w:lastRow="0" w:noHBand="0" w:noVBand="1" w:val="04A0"/>
      </w:tblPr>
      <w:tblGrid>
        <w:gridCol w:w="4680"/>
        <w:gridCol w:w="4680"/>
      </w:tblGrid>
      <w:tr>
        <w:tc>
          <w:tcPr>
            <w:tcW w:type="dxa" w:w="3024"/>
            <w:shd w:fill="E8EEF5"/>
            <w:tcMar>
              <w:top w:w="80" w:type="dxa"/>
              <w:start w:w="120" w:type="dxa"/>
              <w:bottom w:w="80" w:type="dxa"/>
              <w:end w:w="120" w:type="dxa"/>
            </w:tcMar>
            <w:vAlign w:val="center"/>
          </w:tcPr>
          <w:p>
            <w:r>
              <w:rPr>
                <w:rFonts w:ascii="Calibri" w:hAnsi="Calibri"/>
                <w:b/>
                <w:color w:val="0B2545"/>
                <w:sz w:val="19"/>
              </w:rPr>
              <w:t>Setup</w:t>
            </w:r>
          </w:p>
        </w:tc>
        <w:tc>
          <w:tcPr>
            <w:tcW w:type="dxa" w:w="6336"/>
            <w:shd w:fill="E8EEF5"/>
            <w:tcMar>
              <w:top w:w="80" w:type="dxa"/>
              <w:start w:w="120" w:type="dxa"/>
              <w:bottom w:w="80" w:type="dxa"/>
              <w:end w:w="120" w:type="dxa"/>
            </w:tcMar>
            <w:vAlign w:val="center"/>
          </w:tcPr>
          <w:p>
            <w:r>
              <w:rPr>
                <w:rFonts w:ascii="Calibri" w:hAnsi="Calibri"/>
                <w:b/>
                <w:color w:val="0B2545"/>
                <w:sz w:val="19"/>
              </w:rPr>
              <w:t>Typical invalidation</w:t>
            </w:r>
          </w:p>
        </w:tc>
      </w:tr>
      <w:tr>
        <w:tc>
          <w:tcPr>
            <w:tcW w:type="dxa" w:w="3024"/>
            <w:tcMar>
              <w:top w:w="80" w:type="dxa"/>
              <w:start w:w="120" w:type="dxa"/>
              <w:bottom w:w="80" w:type="dxa"/>
              <w:end w:w="120" w:type="dxa"/>
            </w:tcMar>
            <w:vAlign w:val="center"/>
          </w:tcPr>
          <w:p>
            <w:r>
              <w:rPr>
                <w:rFonts w:ascii="Calibri" w:hAnsi="Calibri"/>
                <w:sz w:val="18"/>
              </w:rPr>
              <w:t>Long from higher low</w:t>
            </w:r>
          </w:p>
        </w:tc>
        <w:tc>
          <w:tcPr>
            <w:tcW w:type="dxa" w:w="6336"/>
            <w:tcMar>
              <w:top w:w="80" w:type="dxa"/>
              <w:start w:w="120" w:type="dxa"/>
              <w:bottom w:w="80" w:type="dxa"/>
              <w:end w:w="120" w:type="dxa"/>
            </w:tcMar>
            <w:vAlign w:val="center"/>
          </w:tcPr>
          <w:p>
            <w:r>
              <w:rPr>
                <w:rFonts w:ascii="Calibri" w:hAnsi="Calibri"/>
                <w:sz w:val="18"/>
              </w:rPr>
              <w:t>Below the swing low or defended support zone, plus a small volatility buffer</w:t>
            </w:r>
          </w:p>
        </w:tc>
      </w:tr>
      <w:tr>
        <w:tc>
          <w:tcPr>
            <w:tcW w:type="dxa" w:w="3024"/>
            <w:tcMar>
              <w:top w:w="80" w:type="dxa"/>
              <w:start w:w="120" w:type="dxa"/>
              <w:bottom w:w="80" w:type="dxa"/>
              <w:end w:w="120" w:type="dxa"/>
            </w:tcMar>
            <w:vAlign w:val="center"/>
          </w:tcPr>
          <w:p>
            <w:r>
              <w:rPr>
                <w:rFonts w:ascii="Calibri" w:hAnsi="Calibri"/>
                <w:sz w:val="18"/>
              </w:rPr>
              <w:t>Short from lower high</w:t>
            </w:r>
          </w:p>
        </w:tc>
        <w:tc>
          <w:tcPr>
            <w:tcW w:type="dxa" w:w="6336"/>
            <w:tcMar>
              <w:top w:w="80" w:type="dxa"/>
              <w:start w:w="120" w:type="dxa"/>
              <w:bottom w:w="80" w:type="dxa"/>
              <w:end w:w="120" w:type="dxa"/>
            </w:tcMar>
            <w:vAlign w:val="center"/>
          </w:tcPr>
          <w:p>
            <w:r>
              <w:rPr>
                <w:rFonts w:ascii="Calibri" w:hAnsi="Calibri"/>
                <w:sz w:val="18"/>
              </w:rPr>
              <w:t>Above the swing high or defended resistance zone, plus a buffer</w:t>
            </w:r>
          </w:p>
        </w:tc>
      </w:tr>
      <w:tr>
        <w:tc>
          <w:tcPr>
            <w:tcW w:type="dxa" w:w="3024"/>
            <w:tcMar>
              <w:top w:w="80" w:type="dxa"/>
              <w:start w:w="120" w:type="dxa"/>
              <w:bottom w:w="80" w:type="dxa"/>
              <w:end w:w="120" w:type="dxa"/>
            </w:tcMar>
            <w:vAlign w:val="center"/>
          </w:tcPr>
          <w:p>
            <w:r>
              <w:rPr>
                <w:rFonts w:ascii="Calibri" w:hAnsi="Calibri"/>
                <w:sz w:val="18"/>
              </w:rPr>
              <w:t>Breakout retest long</w:t>
            </w:r>
          </w:p>
        </w:tc>
        <w:tc>
          <w:tcPr>
            <w:tcW w:type="dxa" w:w="6336"/>
            <w:tcMar>
              <w:top w:w="80" w:type="dxa"/>
              <w:start w:w="120" w:type="dxa"/>
              <w:bottom w:w="80" w:type="dxa"/>
              <w:end w:w="120" w:type="dxa"/>
            </w:tcMar>
            <w:vAlign w:val="center"/>
          </w:tcPr>
          <w:p>
            <w:r>
              <w:rPr>
                <w:rFonts w:ascii="Calibri" w:hAnsi="Calibri"/>
                <w:sz w:val="18"/>
              </w:rPr>
              <w:t>Below the retest low and back inside the old range</w:t>
            </w:r>
          </w:p>
        </w:tc>
      </w:tr>
      <w:tr>
        <w:tc>
          <w:tcPr>
            <w:tcW w:type="dxa" w:w="3024"/>
            <w:tcMar>
              <w:top w:w="80" w:type="dxa"/>
              <w:start w:w="120" w:type="dxa"/>
              <w:bottom w:w="80" w:type="dxa"/>
              <w:end w:w="120" w:type="dxa"/>
            </w:tcMar>
            <w:vAlign w:val="center"/>
          </w:tcPr>
          <w:p>
            <w:r>
              <w:rPr>
                <w:rFonts w:ascii="Calibri" w:hAnsi="Calibri"/>
                <w:sz w:val="18"/>
              </w:rPr>
              <w:t>Breakdown retest short</w:t>
            </w:r>
          </w:p>
        </w:tc>
        <w:tc>
          <w:tcPr>
            <w:tcW w:type="dxa" w:w="6336"/>
            <w:tcMar>
              <w:top w:w="80" w:type="dxa"/>
              <w:start w:w="120" w:type="dxa"/>
              <w:bottom w:w="80" w:type="dxa"/>
              <w:end w:w="120" w:type="dxa"/>
            </w:tcMar>
            <w:vAlign w:val="center"/>
          </w:tcPr>
          <w:p>
            <w:r>
              <w:rPr>
                <w:rFonts w:ascii="Calibri" w:hAnsi="Calibri"/>
                <w:sz w:val="18"/>
              </w:rPr>
              <w:t>Above the retest high and back inside the old range</w:t>
            </w:r>
          </w:p>
        </w:tc>
      </w:tr>
    </w:tbl>
    <w:p>
      <w:pPr>
        <w:spacing w:after="20"/>
      </w:pPr>
    </w:p>
    <w:p>
      <w:pPr>
        <w:pStyle w:val="ListBullet"/>
        <w:spacing w:after="80" w:line="276" w:lineRule="auto"/>
      </w:pPr>
      <w:r>
        <w:rPr>
          <w:rFonts w:ascii="Calibri" w:hAnsi="Calibri"/>
          <w:sz w:val="21"/>
        </w:rPr>
        <w:t>Place the stop first; calculate size second.</w:t>
      </w:r>
    </w:p>
    <w:p>
      <w:pPr>
        <w:pStyle w:val="ListBullet"/>
        <w:spacing w:after="80" w:line="276" w:lineRule="auto"/>
      </w:pPr>
      <w:r>
        <w:rPr>
          <w:rFonts w:ascii="Calibri" w:hAnsi="Calibri"/>
          <w:sz w:val="21"/>
        </w:rPr>
        <w:t>Account for wick noise and spread/fees, but do not make the stop so wide that the thesis becomes vague.</w:t>
      </w:r>
    </w:p>
    <w:p>
      <w:pPr>
        <w:pStyle w:val="ListBullet"/>
        <w:spacing w:after="80" w:line="276" w:lineRule="auto"/>
      </w:pPr>
      <w:r>
        <w:rPr>
          <w:rFonts w:ascii="Calibri" w:hAnsi="Calibri"/>
          <w:sz w:val="21"/>
        </w:rPr>
        <w:t>Never widen a stop after entry. If new information invalidates the plan, exit; do not renegotiate with the chart.</w:t>
      </w:r>
    </w:p>
    <w:p>
      <w:pPr>
        <w:pStyle w:val="ListBullet"/>
        <w:spacing w:after="80" w:line="276" w:lineRule="auto"/>
      </w:pPr>
      <w:r>
        <w:rPr>
          <w:rFonts w:ascii="Calibri" w:hAnsi="Calibri"/>
          <w:sz w:val="21"/>
        </w:rPr>
        <w:t>A stop hit does not prove the decision was wrong. It proves the defined scenario did not occur.</w:t>
      </w:r>
    </w:p>
    <w:p>
      <w:pPr>
        <w:pStyle w:val="Heading1"/>
        <w:keepNext/>
      </w:pPr>
      <w:r>
        <w:t>7. Reward:risk and realistic targets</w:t>
      </w:r>
    </w:p>
    <w:p>
      <w:pPr>
        <w:spacing w:after="120" w:line="288" w:lineRule="auto"/>
      </w:pPr>
      <w:r>
        <w:rPr>
          <w:rFonts w:ascii="Calibri" w:hAnsi="Calibri"/>
          <w:sz w:val="21"/>
        </w:rPr>
        <w:t>R is the amount lost if the structural stop is hit. A 2R target earns twice the planned risk before fees. Reward:risk is a filter, not a guarantee.</w:t>
      </w:r>
    </w:p>
    <w:tbl>
      <w:tblPr>
        <w:tblStyle w:val="TableGrid"/>
        <w:tblW w:type="auto" w:w="0"/>
        <w:jc w:val="center"/>
        <w:tblLayout w:type="fixed"/>
        <w:tblLook w:firstColumn="1" w:firstRow="1" w:lastColumn="0" w:lastRow="0" w:noHBand="0" w:noVBand="1" w:val="04A0"/>
      </w:tblPr>
      <w:tblGrid>
        <w:gridCol w:w="4680"/>
        <w:gridCol w:w="4680"/>
      </w:tblGrid>
      <w:tr>
        <w:tc>
          <w:tcPr>
            <w:tcW w:type="dxa" w:w="4680"/>
            <w:shd w:fill="E8EEF5"/>
            <w:tcMar>
              <w:top w:w="80" w:type="dxa"/>
              <w:start w:w="120" w:type="dxa"/>
              <w:bottom w:w="80" w:type="dxa"/>
              <w:end w:w="120" w:type="dxa"/>
            </w:tcMar>
            <w:vAlign w:val="center"/>
          </w:tcPr>
          <w:p>
            <w:r>
              <w:rPr>
                <w:rFonts w:ascii="Calibri" w:hAnsi="Calibri"/>
                <w:b/>
                <w:color w:val="0B2545"/>
                <w:sz w:val="19"/>
              </w:rPr>
              <w:t>Formula</w:t>
            </w:r>
          </w:p>
        </w:tc>
        <w:tc>
          <w:tcPr>
            <w:tcW w:type="dxa" w:w="4680"/>
            <w:shd w:fill="E8EEF5"/>
            <w:tcMar>
              <w:top w:w="80" w:type="dxa"/>
              <w:start w:w="120" w:type="dxa"/>
              <w:bottom w:w="80" w:type="dxa"/>
              <w:end w:w="120" w:type="dxa"/>
            </w:tcMar>
            <w:vAlign w:val="center"/>
          </w:tcPr>
          <w:p>
            <w:r>
              <w:rPr>
                <w:rFonts w:ascii="Calibri" w:hAnsi="Calibri"/>
                <w:b/>
                <w:color w:val="0B2545"/>
                <w:sz w:val="19"/>
              </w:rPr>
              <w:t>Example</w:t>
            </w:r>
          </w:p>
        </w:tc>
      </w:tr>
      <w:tr>
        <w:tc>
          <w:tcPr>
            <w:tcW w:type="dxa" w:w="4680"/>
            <w:tcMar>
              <w:top w:w="80" w:type="dxa"/>
              <w:start w:w="120" w:type="dxa"/>
              <w:bottom w:w="80" w:type="dxa"/>
              <w:end w:w="120" w:type="dxa"/>
            </w:tcMar>
            <w:vAlign w:val="center"/>
          </w:tcPr>
          <w:p>
            <w:r>
              <w:rPr>
                <w:rFonts w:ascii="Calibri" w:hAnsi="Calibri"/>
                <w:sz w:val="18"/>
              </w:rPr>
              <w:t>Long risk = Entry − Stop</w:t>
            </w:r>
          </w:p>
        </w:tc>
        <w:tc>
          <w:tcPr>
            <w:tcW w:type="dxa" w:w="4680"/>
            <w:tcMar>
              <w:top w:w="80" w:type="dxa"/>
              <w:start w:w="120" w:type="dxa"/>
              <w:bottom w:w="80" w:type="dxa"/>
              <w:end w:w="120" w:type="dxa"/>
            </w:tcMar>
            <w:vAlign w:val="center"/>
          </w:tcPr>
          <w:p>
            <w:r>
              <w:rPr>
                <w:rFonts w:ascii="Calibri" w:hAnsi="Calibri"/>
                <w:sz w:val="18"/>
              </w:rPr>
              <w:t>Entry 100; stop 98 → risk = 2</w:t>
            </w:r>
          </w:p>
        </w:tc>
      </w:tr>
      <w:tr>
        <w:tc>
          <w:tcPr>
            <w:tcW w:type="dxa" w:w="4680"/>
            <w:tcMar>
              <w:top w:w="80" w:type="dxa"/>
              <w:start w:w="120" w:type="dxa"/>
              <w:bottom w:w="80" w:type="dxa"/>
              <w:end w:w="120" w:type="dxa"/>
            </w:tcMar>
            <w:vAlign w:val="center"/>
          </w:tcPr>
          <w:p>
            <w:r>
              <w:rPr>
                <w:rFonts w:ascii="Calibri" w:hAnsi="Calibri"/>
                <w:sz w:val="18"/>
              </w:rPr>
              <w:t>Long 2R target = Entry + 2 × risk</w:t>
            </w:r>
          </w:p>
        </w:tc>
        <w:tc>
          <w:tcPr>
            <w:tcW w:type="dxa" w:w="4680"/>
            <w:tcMar>
              <w:top w:w="80" w:type="dxa"/>
              <w:start w:w="120" w:type="dxa"/>
              <w:bottom w:w="80" w:type="dxa"/>
              <w:end w:w="120" w:type="dxa"/>
            </w:tcMar>
            <w:vAlign w:val="center"/>
          </w:tcPr>
          <w:p>
            <w:r>
              <w:rPr>
                <w:rFonts w:ascii="Calibri" w:hAnsi="Calibri"/>
                <w:sz w:val="18"/>
              </w:rPr>
              <w:t>100 + 2×2 = 104</w:t>
            </w:r>
          </w:p>
        </w:tc>
      </w:tr>
      <w:tr>
        <w:tc>
          <w:tcPr>
            <w:tcW w:type="dxa" w:w="4680"/>
            <w:tcMar>
              <w:top w:w="80" w:type="dxa"/>
              <w:start w:w="120" w:type="dxa"/>
              <w:bottom w:w="80" w:type="dxa"/>
              <w:end w:w="120" w:type="dxa"/>
            </w:tcMar>
            <w:vAlign w:val="center"/>
          </w:tcPr>
          <w:p>
            <w:r>
              <w:rPr>
                <w:rFonts w:ascii="Calibri" w:hAnsi="Calibri"/>
                <w:sz w:val="18"/>
              </w:rPr>
              <w:t>Short risk = Stop − Entry</w:t>
            </w:r>
          </w:p>
        </w:tc>
        <w:tc>
          <w:tcPr>
            <w:tcW w:type="dxa" w:w="4680"/>
            <w:tcMar>
              <w:top w:w="80" w:type="dxa"/>
              <w:start w:w="120" w:type="dxa"/>
              <w:bottom w:w="80" w:type="dxa"/>
              <w:end w:w="120" w:type="dxa"/>
            </w:tcMar>
            <w:vAlign w:val="center"/>
          </w:tcPr>
          <w:p>
            <w:r>
              <w:rPr>
                <w:rFonts w:ascii="Calibri" w:hAnsi="Calibri"/>
                <w:sz w:val="18"/>
              </w:rPr>
              <w:t>Entry 100; stop 102 → risk = 2</w:t>
            </w:r>
          </w:p>
        </w:tc>
      </w:tr>
      <w:tr>
        <w:tc>
          <w:tcPr>
            <w:tcW w:type="dxa" w:w="4680"/>
            <w:tcMar>
              <w:top w:w="80" w:type="dxa"/>
              <w:start w:w="120" w:type="dxa"/>
              <w:bottom w:w="80" w:type="dxa"/>
              <w:end w:w="120" w:type="dxa"/>
            </w:tcMar>
            <w:vAlign w:val="center"/>
          </w:tcPr>
          <w:p>
            <w:r>
              <w:rPr>
                <w:rFonts w:ascii="Calibri" w:hAnsi="Calibri"/>
                <w:sz w:val="18"/>
              </w:rPr>
              <w:t>Short 2R target = Entry − 2 × risk</w:t>
            </w:r>
          </w:p>
        </w:tc>
        <w:tc>
          <w:tcPr>
            <w:tcW w:type="dxa" w:w="4680"/>
            <w:tcMar>
              <w:top w:w="80" w:type="dxa"/>
              <w:start w:w="120" w:type="dxa"/>
              <w:bottom w:w="80" w:type="dxa"/>
              <w:end w:w="120" w:type="dxa"/>
            </w:tcMar>
            <w:vAlign w:val="center"/>
          </w:tcPr>
          <w:p>
            <w:r>
              <w:rPr>
                <w:rFonts w:ascii="Calibri" w:hAnsi="Calibri"/>
                <w:sz w:val="18"/>
              </w:rPr>
              <w:t>100 − 2×2 = 96</w:t>
            </w:r>
          </w:p>
        </w:tc>
      </w:tr>
      <w:tr>
        <w:tc>
          <w:tcPr>
            <w:tcW w:type="dxa" w:w="4680"/>
            <w:tcMar>
              <w:top w:w="80" w:type="dxa"/>
              <w:start w:w="120" w:type="dxa"/>
              <w:bottom w:w="80" w:type="dxa"/>
              <w:end w:w="120" w:type="dxa"/>
            </w:tcMar>
            <w:vAlign w:val="center"/>
          </w:tcPr>
          <w:p>
            <w:r>
              <w:rPr>
                <w:rFonts w:ascii="Calibri" w:hAnsi="Calibri"/>
                <w:sz w:val="18"/>
              </w:rPr>
              <w:t>Position size = Account risk ÷ Stop distance</w:t>
            </w:r>
          </w:p>
        </w:tc>
        <w:tc>
          <w:tcPr>
            <w:tcW w:type="dxa" w:w="4680"/>
            <w:tcMar>
              <w:top w:w="80" w:type="dxa"/>
              <w:start w:w="120" w:type="dxa"/>
              <w:bottom w:w="80" w:type="dxa"/>
              <w:end w:w="120" w:type="dxa"/>
            </w:tcMar>
            <w:vAlign w:val="center"/>
          </w:tcPr>
          <w:p>
            <w:r>
              <w:rPr>
                <w:rFonts w:ascii="Calibri" w:hAnsi="Calibri"/>
                <w:sz w:val="18"/>
              </w:rPr>
              <w:t>$5 risk ÷ $2 = 2.5 units</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FFF4D6"/>
            <w:tcMar>
              <w:top w:w="140" w:type="dxa"/>
              <w:start w:w="180" w:type="dxa"/>
              <w:bottom w:w="140" w:type="dxa"/>
              <w:end w:w="180" w:type="dxa"/>
            </w:tcMar>
          </w:tcPr>
          <w:p>
            <w:pPr>
              <w:spacing w:after="0"/>
            </w:pPr>
            <w:r>
              <w:rPr>
                <w:rFonts w:ascii="Calibri" w:hAnsi="Calibri"/>
                <w:b/>
                <w:color w:val="0B2545"/>
                <w:sz w:val="21"/>
              </w:rPr>
              <w:t xml:space="preserve">Critical gate  </w:t>
            </w:r>
            <w:r>
              <w:rPr>
                <w:rFonts w:ascii="Calibri" w:hAnsi="Calibri"/>
                <w:sz w:val="21"/>
              </w:rPr>
              <w:t>A mathematically correct 2R target is invalid if strong support/resistance lies before it. Either improve the entry without shrinking the structural stop, select a different target/setup, or skip.</w:t>
            </w:r>
          </w:p>
        </w:tc>
      </w:tr>
    </w:tbl>
    <w:p>
      <w:pPr>
        <w:spacing w:after="20"/>
      </w:pPr>
    </w:p>
    <w:p>
      <w:pPr>
        <w:pStyle w:val="ListBullet"/>
        <w:spacing w:after="80" w:line="276" w:lineRule="auto"/>
      </w:pPr>
      <w:r>
        <w:rPr>
          <w:rFonts w:ascii="Calibri" w:hAnsi="Calibri"/>
          <w:sz w:val="21"/>
        </w:rPr>
        <w:t>Include estimated entry and exit fees when evaluating net expectancy.</w:t>
      </w:r>
    </w:p>
    <w:p>
      <w:pPr>
        <w:pStyle w:val="ListBullet"/>
        <w:spacing w:after="80" w:line="276" w:lineRule="auto"/>
      </w:pPr>
      <w:r>
        <w:rPr>
          <w:rFonts w:ascii="Calibri" w:hAnsi="Calibri"/>
          <w:sz w:val="21"/>
        </w:rPr>
        <w:t>At 2R, a strategy can be profitable below a 50% win rate, but only if losses stay near −1R and winners are actually allowed to reach target.</w:t>
      </w:r>
    </w:p>
    <w:p>
      <w:pPr>
        <w:pStyle w:val="ListBullet"/>
        <w:spacing w:after="80" w:line="276" w:lineRule="auto"/>
      </w:pPr>
      <w:r>
        <w:rPr>
          <w:rFonts w:ascii="Calibri" w:hAnsi="Calibri"/>
          <w:sz w:val="21"/>
        </w:rPr>
        <w:t>Do not cut every winner at +0.5R while accepting full −1R losses; that destroys the planned payoff distribution.</w:t>
      </w:r>
    </w:p>
    <w:p>
      <w:pPr>
        <w:pStyle w:val="Heading1"/>
        <w:keepNext/>
      </w:pPr>
      <w:r>
        <w:t>8. Position sizing and capital protection</w:t>
      </w:r>
    </w:p>
    <w:p>
      <w:pPr>
        <w:spacing w:after="120" w:line="288" w:lineRule="auto"/>
      </w:pPr>
      <w:r>
        <w:rPr>
          <w:rFonts w:ascii="Calibri" w:hAnsi="Calibri"/>
          <w:sz w:val="21"/>
        </w:rPr>
        <w:t>Choose a fixed percentage of current account equity. Beginners commonly use 0.25%–0.5% per trade while learning; the exact level must be small enough that a losing streak does not change behavior.</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E8EEF5"/>
            <w:tcMar>
              <w:top w:w="80" w:type="dxa"/>
              <w:start w:w="120" w:type="dxa"/>
              <w:bottom w:w="80" w:type="dxa"/>
              <w:end w:w="120" w:type="dxa"/>
            </w:tcMar>
            <w:vAlign w:val="center"/>
          </w:tcPr>
          <w:p>
            <w:r>
              <w:rPr>
                <w:rFonts w:ascii="Calibri" w:hAnsi="Calibri"/>
                <w:b/>
                <w:color w:val="0B2545"/>
                <w:sz w:val="19"/>
              </w:rPr>
              <w:t>Control</w:t>
            </w:r>
          </w:p>
        </w:tc>
        <w:tc>
          <w:tcPr>
            <w:tcW w:type="dxa" w:w="6480"/>
            <w:shd w:fill="E8EEF5"/>
            <w:tcMar>
              <w:top w:w="80" w:type="dxa"/>
              <w:start w:w="120" w:type="dxa"/>
              <w:bottom w:w="80" w:type="dxa"/>
              <w:end w:w="120" w:type="dxa"/>
            </w:tcMar>
            <w:vAlign w:val="center"/>
          </w:tcPr>
          <w:p>
            <w:r>
              <w:rPr>
                <w:rFonts w:ascii="Calibri" w:hAnsi="Calibri"/>
                <w:b/>
                <w:color w:val="0B2545"/>
                <w:sz w:val="19"/>
              </w:rPr>
              <w:t>Practice rule</w:t>
            </w:r>
          </w:p>
        </w:tc>
      </w:tr>
      <w:tr>
        <w:tc>
          <w:tcPr>
            <w:tcW w:type="dxa" w:w="2880"/>
            <w:tcMar>
              <w:top w:w="80" w:type="dxa"/>
              <w:start w:w="120" w:type="dxa"/>
              <w:bottom w:w="80" w:type="dxa"/>
              <w:end w:w="120" w:type="dxa"/>
            </w:tcMar>
            <w:vAlign w:val="center"/>
          </w:tcPr>
          <w:p>
            <w:r>
              <w:rPr>
                <w:rFonts w:ascii="Calibri" w:hAnsi="Calibri"/>
                <w:sz w:val="18"/>
              </w:rPr>
              <w:t>Risk per trade</w:t>
            </w:r>
          </w:p>
        </w:tc>
        <w:tc>
          <w:tcPr>
            <w:tcW w:type="dxa" w:w="6480"/>
            <w:tcMar>
              <w:top w:w="80" w:type="dxa"/>
              <w:start w:w="120" w:type="dxa"/>
              <w:bottom w:w="80" w:type="dxa"/>
              <w:end w:w="120" w:type="dxa"/>
            </w:tcMar>
            <w:vAlign w:val="center"/>
          </w:tcPr>
          <w:p>
            <w:r>
              <w:rPr>
                <w:rFonts w:ascii="Calibri" w:hAnsi="Calibri"/>
                <w:sz w:val="18"/>
              </w:rPr>
              <w:t>0.25%–0.5% during learning; never increase because confidence feels high</w:t>
            </w:r>
          </w:p>
        </w:tc>
      </w:tr>
      <w:tr>
        <w:tc>
          <w:tcPr>
            <w:tcW w:type="dxa" w:w="2880"/>
            <w:tcMar>
              <w:top w:w="80" w:type="dxa"/>
              <w:start w:w="120" w:type="dxa"/>
              <w:bottom w:w="80" w:type="dxa"/>
              <w:end w:w="120" w:type="dxa"/>
            </w:tcMar>
            <w:vAlign w:val="center"/>
          </w:tcPr>
          <w:p>
            <w:r>
              <w:rPr>
                <w:rFonts w:ascii="Calibri" w:hAnsi="Calibri"/>
                <w:sz w:val="18"/>
              </w:rPr>
              <w:t>Daily loss limit</w:t>
            </w:r>
          </w:p>
        </w:tc>
        <w:tc>
          <w:tcPr>
            <w:tcW w:type="dxa" w:w="6480"/>
            <w:tcMar>
              <w:top w:w="80" w:type="dxa"/>
              <w:start w:w="120" w:type="dxa"/>
              <w:bottom w:w="80" w:type="dxa"/>
              <w:end w:w="120" w:type="dxa"/>
            </w:tcMar>
            <w:vAlign w:val="center"/>
          </w:tcPr>
          <w:p>
            <w:r>
              <w:rPr>
                <w:rFonts w:ascii="Calibri" w:hAnsi="Calibri"/>
                <w:sz w:val="18"/>
              </w:rPr>
              <w:t>Stop after 2–3 full-risk losses or a predefined equity percentage</w:t>
            </w:r>
          </w:p>
        </w:tc>
      </w:tr>
      <w:tr>
        <w:tc>
          <w:tcPr>
            <w:tcW w:type="dxa" w:w="2880"/>
            <w:tcMar>
              <w:top w:w="80" w:type="dxa"/>
              <w:start w:w="120" w:type="dxa"/>
              <w:bottom w:w="80" w:type="dxa"/>
              <w:end w:w="120" w:type="dxa"/>
            </w:tcMar>
            <w:vAlign w:val="center"/>
          </w:tcPr>
          <w:p>
            <w:r>
              <w:rPr>
                <w:rFonts w:ascii="Calibri" w:hAnsi="Calibri"/>
                <w:sz w:val="18"/>
              </w:rPr>
              <w:t>Correlated positions</w:t>
            </w:r>
          </w:p>
        </w:tc>
        <w:tc>
          <w:tcPr>
            <w:tcW w:type="dxa" w:w="6480"/>
            <w:tcMar>
              <w:top w:w="80" w:type="dxa"/>
              <w:start w:w="120" w:type="dxa"/>
              <w:bottom w:w="80" w:type="dxa"/>
              <w:end w:w="120" w:type="dxa"/>
            </w:tcMar>
            <w:vAlign w:val="center"/>
          </w:tcPr>
          <w:p>
            <w:r>
              <w:rPr>
                <w:rFonts w:ascii="Calibri" w:hAnsi="Calibri"/>
                <w:sz w:val="18"/>
              </w:rPr>
              <w:t>Treat highly correlated trades as one combined risk</w:t>
            </w:r>
          </w:p>
        </w:tc>
      </w:tr>
      <w:tr>
        <w:tc>
          <w:tcPr>
            <w:tcW w:type="dxa" w:w="2880"/>
            <w:tcMar>
              <w:top w:w="80" w:type="dxa"/>
              <w:start w:w="120" w:type="dxa"/>
              <w:bottom w:w="80" w:type="dxa"/>
              <w:end w:w="120" w:type="dxa"/>
            </w:tcMar>
            <w:vAlign w:val="center"/>
          </w:tcPr>
          <w:p>
            <w:r>
              <w:rPr>
                <w:rFonts w:ascii="Calibri" w:hAnsi="Calibri"/>
                <w:sz w:val="18"/>
              </w:rPr>
              <w:t>Leverage</w:t>
            </w:r>
          </w:p>
        </w:tc>
        <w:tc>
          <w:tcPr>
            <w:tcW w:type="dxa" w:w="6480"/>
            <w:tcMar>
              <w:top w:w="80" w:type="dxa"/>
              <w:start w:w="120" w:type="dxa"/>
              <w:bottom w:w="80" w:type="dxa"/>
              <w:end w:w="120" w:type="dxa"/>
            </w:tcMar>
            <w:vAlign w:val="center"/>
          </w:tcPr>
          <w:p>
            <w:r>
              <w:rPr>
                <w:rFonts w:ascii="Calibri" w:hAnsi="Calibri"/>
                <w:sz w:val="18"/>
              </w:rPr>
              <w:t>Changes margin, not market risk; size from stop distance first</w:t>
            </w:r>
          </w:p>
        </w:tc>
      </w:tr>
      <w:tr>
        <w:tc>
          <w:tcPr>
            <w:tcW w:type="dxa" w:w="2880"/>
            <w:tcMar>
              <w:top w:w="80" w:type="dxa"/>
              <w:start w:w="120" w:type="dxa"/>
              <w:bottom w:w="80" w:type="dxa"/>
              <w:end w:w="120" w:type="dxa"/>
            </w:tcMar>
            <w:vAlign w:val="center"/>
          </w:tcPr>
          <w:p>
            <w:r>
              <w:rPr>
                <w:rFonts w:ascii="Calibri" w:hAnsi="Calibri"/>
                <w:sz w:val="18"/>
              </w:rPr>
              <w:t>Drawdown response</w:t>
            </w:r>
          </w:p>
        </w:tc>
        <w:tc>
          <w:tcPr>
            <w:tcW w:type="dxa" w:w="6480"/>
            <w:tcMar>
              <w:top w:w="80" w:type="dxa"/>
              <w:start w:w="120" w:type="dxa"/>
              <w:bottom w:w="80" w:type="dxa"/>
              <w:end w:w="120" w:type="dxa"/>
            </w:tcMar>
            <w:vAlign w:val="center"/>
          </w:tcPr>
          <w:p>
            <w:r>
              <w:rPr>
                <w:rFonts w:ascii="Calibri" w:hAnsi="Calibri"/>
                <w:sz w:val="18"/>
              </w:rPr>
              <w:t>Reduce size; review execution; do not double risk to recover</w:t>
            </w:r>
          </w:p>
        </w:tc>
      </w:tr>
    </w:tbl>
    <w:p>
      <w:pPr>
        <w:spacing w:after="20"/>
      </w:pPr>
    </w:p>
    <w:tbl>
      <w:tblPr>
        <w:tblW w:type="auto" w:w="0"/>
        <w:jc w:val="center"/>
        <w:tblLayout w:type="fixed"/>
        <w:tblLook w:firstColumn="1" w:firstRow="1" w:lastColumn="0" w:lastRow="0" w:noHBand="0" w:noVBand="1" w:val="04A0"/>
      </w:tblPr>
      <w:tblGrid>
        <w:gridCol w:w="9360"/>
      </w:tblGrid>
      <w:tr>
        <w:tc>
          <w:tcPr>
            <w:tcW w:type="dxa" w:w="9360"/>
            <w:shd w:fill="E7F4F2"/>
            <w:tcMar>
              <w:top w:w="140" w:type="dxa"/>
              <w:start w:w="180" w:type="dxa"/>
              <w:bottom w:w="140" w:type="dxa"/>
              <w:end w:w="180" w:type="dxa"/>
            </w:tcMar>
          </w:tcPr>
          <w:p>
            <w:pPr>
              <w:spacing w:after="0"/>
            </w:pPr>
            <w:r>
              <w:rPr>
                <w:rFonts w:ascii="Calibri" w:hAnsi="Calibri"/>
                <w:b/>
                <w:color w:val="0B2545"/>
                <w:sz w:val="21"/>
              </w:rPr>
              <w:t xml:space="preserve">Example  </w:t>
            </w:r>
            <w:r>
              <w:rPr>
                <w:rFonts w:ascii="Calibri" w:hAnsi="Calibri"/>
                <w:sz w:val="21"/>
              </w:rPr>
              <w:t>$500 account × 0.5% = $2.50 maximum planned loss. If the BTC stop is $1,000 away, quantity = $2.50 ÷ $1,000 = 0.0025 BTC before fees.</w:t>
            </w:r>
          </w:p>
        </w:tc>
      </w:tr>
    </w:tbl>
    <w:p>
      <w:pPr>
        <w:spacing w:after="20"/>
      </w:pPr>
    </w:p>
    <w:p>
      <w:pPr>
        <w:pStyle w:val="Heading1"/>
        <w:keepNext/>
      </w:pPr>
      <w:r>
        <w:t>9. Drawing and forecasting positions</w:t>
      </w:r>
    </w:p>
    <w:p>
      <w:r>
        <w:drawing>
          <wp:inline xmlns:a="http://schemas.openxmlformats.org/drawingml/2006/main" xmlns:pic="http://schemas.openxmlformats.org/drawingml/2006/picture">
            <wp:extent cx="5897880" cy="2331720"/>
            <wp:docPr id="3" name="Picture 3"/>
            <wp:cNvGraphicFramePr>
              <a:graphicFrameLocks noChangeAspect="1"/>
            </wp:cNvGraphicFramePr>
            <a:graphic>
              <a:graphicData uri="http://schemas.openxmlformats.org/drawingml/2006/picture">
                <pic:pic>
                  <pic:nvPicPr>
                    <pic:cNvPr id="0" name="long_position.png"/>
                    <pic:cNvPicPr/>
                  </pic:nvPicPr>
                  <pic:blipFill>
                    <a:blip r:embed="rId13"/>
                    <a:stretch>
                      <a:fillRect/>
                    </a:stretch>
                  </pic:blipFill>
                  <pic:spPr>
                    <a:xfrm>
                      <a:off x="0" y="0"/>
                      <a:ext cx="5897880" cy="2331720"/>
                    </a:xfrm>
                    <a:prstGeom prst="rect"/>
                  </pic:spPr>
                </pic:pic>
              </a:graphicData>
            </a:graphic>
          </wp:inline>
        </w:drawing>
      </w:r>
    </w:p>
    <w:p>
      <w:pPr>
        <w:jc w:val="center"/>
      </w:pPr>
      <w:r>
        <w:rPr>
          <w:rFonts w:ascii="Calibri" w:hAnsi="Calibri"/>
          <w:i/>
          <w:color w:val="5A6470"/>
          <w:sz w:val="18"/>
        </w:rPr>
        <w:t>Figure 3. Long-position geometry.</w:t>
      </w:r>
    </w:p>
    <w:p>
      <w:r>
        <w:drawing>
          <wp:inline xmlns:a="http://schemas.openxmlformats.org/drawingml/2006/main" xmlns:pic="http://schemas.openxmlformats.org/drawingml/2006/picture">
            <wp:extent cx="5897880" cy="2331720"/>
            <wp:docPr id="4" name="Picture 4"/>
            <wp:cNvGraphicFramePr>
              <a:graphicFrameLocks noChangeAspect="1"/>
            </wp:cNvGraphicFramePr>
            <a:graphic>
              <a:graphicData uri="http://schemas.openxmlformats.org/drawingml/2006/picture">
                <pic:pic>
                  <pic:nvPicPr>
                    <pic:cNvPr id="0" name="short_position.png"/>
                    <pic:cNvPicPr/>
                  </pic:nvPicPr>
                  <pic:blipFill>
                    <a:blip r:embed="rId14"/>
                    <a:stretch>
                      <a:fillRect/>
                    </a:stretch>
                  </pic:blipFill>
                  <pic:spPr>
                    <a:xfrm>
                      <a:off x="0" y="0"/>
                      <a:ext cx="5897880" cy="2331720"/>
                    </a:xfrm>
                    <a:prstGeom prst="rect"/>
                  </pic:spPr>
                </pic:pic>
              </a:graphicData>
            </a:graphic>
          </wp:inline>
        </w:drawing>
      </w:r>
    </w:p>
    <w:p>
      <w:pPr>
        <w:jc w:val="center"/>
      </w:pPr>
      <w:r>
        <w:rPr>
          <w:rFonts w:ascii="Calibri" w:hAnsi="Calibri"/>
          <w:i/>
          <w:color w:val="5A6470"/>
          <w:sz w:val="18"/>
        </w:rPr>
        <w:t>Figure 4. Short-position geometry.</w:t>
      </w:r>
    </w:p>
    <w:p>
      <w:pPr>
        <w:pStyle w:val="Heading2"/>
        <w:keepNext/>
      </w:pPr>
      <w:r>
        <w:t>Chart drawing order</w:t>
      </w:r>
    </w:p>
    <w:p>
      <w:pPr>
        <w:pStyle w:val="ListNumber"/>
        <w:numPr>
          <w:ilvl w:val="0"/>
          <w:numId w:val="11"/>
        </w:numPr>
        <w:spacing w:after="100" w:line="276" w:lineRule="auto"/>
      </w:pPr>
      <w:r>
        <w:rPr>
          <w:rFonts w:ascii="Calibri" w:hAnsi="Calibri"/>
          <w:sz w:val="21"/>
        </w:rPr>
        <w:t>Mark higher-timeframe support/resistance as narrow zones.</w:t>
      </w:r>
    </w:p>
    <w:p>
      <w:pPr>
        <w:pStyle w:val="ListNumber"/>
        <w:numPr>
          <w:ilvl w:val="0"/>
          <w:numId w:val="11"/>
        </w:numPr>
        <w:spacing w:after="100" w:line="276" w:lineRule="auto"/>
      </w:pPr>
      <w:r>
        <w:rPr>
          <w:rFonts w:ascii="Calibri" w:hAnsi="Calibri"/>
          <w:sz w:val="21"/>
        </w:rPr>
        <w:t>Mark the latest meaningful swing high and swing low.</w:t>
      </w:r>
    </w:p>
    <w:p>
      <w:pPr>
        <w:pStyle w:val="ListNumber"/>
        <w:numPr>
          <w:ilvl w:val="0"/>
          <w:numId w:val="11"/>
        </w:numPr>
        <w:spacing w:after="100" w:line="276" w:lineRule="auto"/>
      </w:pPr>
      <w:r>
        <w:rPr>
          <w:rFonts w:ascii="Calibri" w:hAnsi="Calibri"/>
          <w:sz w:val="21"/>
        </w:rPr>
        <w:t>Draw the entry at the confirmation close or planned retest price.</w:t>
      </w:r>
    </w:p>
    <w:p>
      <w:pPr>
        <w:pStyle w:val="ListNumber"/>
        <w:numPr>
          <w:ilvl w:val="0"/>
          <w:numId w:val="11"/>
        </w:numPr>
        <w:spacing w:after="100" w:line="276" w:lineRule="auto"/>
      </w:pPr>
      <w:r>
        <w:rPr>
          <w:rFonts w:ascii="Calibri" w:hAnsi="Calibri"/>
          <w:sz w:val="21"/>
        </w:rPr>
        <w:t>Place the stop at structural invalidation with a small buffer.</w:t>
      </w:r>
    </w:p>
    <w:p>
      <w:pPr>
        <w:pStyle w:val="ListNumber"/>
        <w:numPr>
          <w:ilvl w:val="0"/>
          <w:numId w:val="11"/>
        </w:numPr>
        <w:spacing w:after="100" w:line="276" w:lineRule="auto"/>
      </w:pPr>
      <w:r>
        <w:rPr>
          <w:rFonts w:ascii="Calibri" w:hAnsi="Calibri"/>
          <w:sz w:val="21"/>
        </w:rPr>
        <w:t>Place the target at the next realistic objective or measured move.</w:t>
      </w:r>
    </w:p>
    <w:p>
      <w:pPr>
        <w:pStyle w:val="ListNumber"/>
        <w:numPr>
          <w:ilvl w:val="0"/>
          <w:numId w:val="11"/>
        </w:numPr>
        <w:spacing w:after="100" w:line="276" w:lineRule="auto"/>
      </w:pPr>
      <w:r>
        <w:rPr>
          <w:rFonts w:ascii="Calibri" w:hAnsi="Calibri"/>
          <w:sz w:val="21"/>
        </w:rPr>
        <w:t>Read the position tool’s reward:risk. Require at least 2.00.</w:t>
      </w:r>
    </w:p>
    <w:p>
      <w:pPr>
        <w:pStyle w:val="ListNumber"/>
        <w:numPr>
          <w:ilvl w:val="0"/>
          <w:numId w:val="11"/>
        </w:numPr>
        <w:spacing w:after="100" w:line="276" w:lineRule="auto"/>
      </w:pPr>
      <w:r>
        <w:rPr>
          <w:rFonts w:ascii="Calibri" w:hAnsi="Calibri"/>
          <w:sz w:val="21"/>
        </w:rPr>
        <w:t>Check that no opposing level blocks the target. If blocked, skip—not force.</w:t>
      </w:r>
    </w:p>
    <w:p>
      <w:pPr>
        <w:pStyle w:val="ListNumber"/>
        <w:numPr>
          <w:ilvl w:val="0"/>
          <w:numId w:val="11"/>
        </w:numPr>
        <w:spacing w:after="100" w:line="276" w:lineRule="auto"/>
      </w:pPr>
      <w:r>
        <w:rPr>
          <w:rFonts w:ascii="Calibri" w:hAnsi="Calibri"/>
          <w:sz w:val="21"/>
        </w:rPr>
        <w:t>Record the screenshot before clicking replay forward.</w:t>
      </w:r>
    </w:p>
    <w:p>
      <w:pPr>
        <w:pStyle w:val="Heading2"/>
        <w:keepNext/>
      </w:pPr>
      <w:r>
        <w:t>Long forecast checklist</w:t>
      </w:r>
    </w:p>
    <w:p>
      <w:pPr>
        <w:pStyle w:val="ListBullet"/>
        <w:spacing w:after="80" w:line="276" w:lineRule="auto"/>
      </w:pPr>
      <w:r>
        <w:rPr>
          <w:rFonts w:ascii="Calibri" w:hAnsi="Calibri"/>
          <w:sz w:val="21"/>
        </w:rPr>
        <w:t>Higher-timeframe trend is up or reversal structure is confirmed.</w:t>
      </w:r>
    </w:p>
    <w:p>
      <w:pPr>
        <w:pStyle w:val="ListBullet"/>
        <w:spacing w:after="80" w:line="276" w:lineRule="auto"/>
      </w:pPr>
      <w:r>
        <w:rPr>
          <w:rFonts w:ascii="Calibri" w:hAnsi="Calibri"/>
          <w:sz w:val="21"/>
        </w:rPr>
        <w:t>Support is beneath entry and has been defended.</w:t>
      </w:r>
    </w:p>
    <w:p>
      <w:pPr>
        <w:pStyle w:val="ListBullet"/>
        <w:spacing w:after="80" w:line="276" w:lineRule="auto"/>
      </w:pPr>
      <w:r>
        <w:rPr>
          <w:rFonts w:ascii="Calibri" w:hAnsi="Calibri"/>
          <w:sz w:val="21"/>
        </w:rPr>
        <w:t>Confirmation closes bullish at the level.</w:t>
      </w:r>
    </w:p>
    <w:p>
      <w:pPr>
        <w:pStyle w:val="ListBullet"/>
        <w:spacing w:after="80" w:line="276" w:lineRule="auto"/>
      </w:pPr>
      <w:r>
        <w:rPr>
          <w:rFonts w:ascii="Calibri" w:hAnsi="Calibri"/>
          <w:sz w:val="21"/>
        </w:rPr>
        <w:t>Stop is below invalidation; target is above entry; 2R space is realistic.</w:t>
      </w:r>
    </w:p>
    <w:p>
      <w:pPr>
        <w:pStyle w:val="Heading2"/>
        <w:keepNext/>
      </w:pPr>
      <w:r>
        <w:t>Short forecast checklist</w:t>
      </w:r>
    </w:p>
    <w:p>
      <w:pPr>
        <w:pStyle w:val="ListBullet"/>
        <w:spacing w:after="80" w:line="276" w:lineRule="auto"/>
      </w:pPr>
      <w:r>
        <w:rPr>
          <w:rFonts w:ascii="Calibri" w:hAnsi="Calibri"/>
          <w:sz w:val="21"/>
        </w:rPr>
        <w:t>Higher-timeframe trend is down or reversal structure is confirmed.</w:t>
      </w:r>
    </w:p>
    <w:p>
      <w:pPr>
        <w:pStyle w:val="ListBullet"/>
        <w:spacing w:after="80" w:line="276" w:lineRule="auto"/>
      </w:pPr>
      <w:r>
        <w:rPr>
          <w:rFonts w:ascii="Calibri" w:hAnsi="Calibri"/>
          <w:sz w:val="21"/>
        </w:rPr>
        <w:t>Resistance is above entry and has been defended.</w:t>
      </w:r>
    </w:p>
    <w:p>
      <w:pPr>
        <w:pStyle w:val="ListBullet"/>
        <w:spacing w:after="80" w:line="276" w:lineRule="auto"/>
      </w:pPr>
      <w:r>
        <w:rPr>
          <w:rFonts w:ascii="Calibri" w:hAnsi="Calibri"/>
          <w:sz w:val="21"/>
        </w:rPr>
        <w:t>Confirmation closes bearish at the level.</w:t>
      </w:r>
    </w:p>
    <w:p>
      <w:pPr>
        <w:pStyle w:val="ListBullet"/>
        <w:spacing w:after="80" w:line="276" w:lineRule="auto"/>
      </w:pPr>
      <w:r>
        <w:rPr>
          <w:rFonts w:ascii="Calibri" w:hAnsi="Calibri"/>
          <w:sz w:val="21"/>
        </w:rPr>
        <w:t>Stop is above invalidation; target is below entry; 2R space is realistic.</w:t>
      </w:r>
    </w:p>
    <w:p>
      <w:pPr>
        <w:pStyle w:val="Heading1"/>
        <w:keepNext/>
      </w:pPr>
      <w:r>
        <w:t>10. Trade management</w:t>
      </w:r>
    </w:p>
    <w:p>
      <w:pPr>
        <w:spacing w:after="120" w:line="288" w:lineRule="auto"/>
      </w:pPr>
      <w:r>
        <w:rPr>
          <w:rFonts w:ascii="Calibri" w:hAnsi="Calibri"/>
          <w:sz w:val="21"/>
        </w:rPr>
        <w:t>Management rules must be chosen before entry. Constant improvisation makes backtesting meaningless.</w:t>
      </w:r>
    </w:p>
    <w:p>
      <w:pPr>
        <w:pStyle w:val="ListBullet"/>
        <w:spacing w:after="80" w:line="276" w:lineRule="auto"/>
      </w:pPr>
      <w:r>
        <w:rPr>
          <w:rFonts w:ascii="Calibri" w:hAnsi="Calibri"/>
          <w:sz w:val="21"/>
        </w:rPr>
        <w:t>Default training model: full stop or full target. It creates clean data.</w:t>
      </w:r>
    </w:p>
    <w:p>
      <w:pPr>
        <w:pStyle w:val="ListBullet"/>
        <w:spacing w:after="80" w:line="276" w:lineRule="auto"/>
      </w:pPr>
      <w:r>
        <w:rPr>
          <w:rFonts w:ascii="Calibri" w:hAnsi="Calibri"/>
          <w:sz w:val="21"/>
        </w:rPr>
        <w:t>Move to breakeven only when the written plan defines a structural reason—not merely because price reached an arbitrary profit.</w:t>
      </w:r>
    </w:p>
    <w:p>
      <w:pPr>
        <w:pStyle w:val="ListBullet"/>
        <w:spacing w:after="80" w:line="276" w:lineRule="auto"/>
      </w:pPr>
      <w:r>
        <w:rPr>
          <w:rFonts w:ascii="Calibri" w:hAnsi="Calibri"/>
          <w:sz w:val="21"/>
        </w:rPr>
        <w:t>Partial exits reduce variance but also reduce average R. Test them as a separate strategy.</w:t>
      </w:r>
    </w:p>
    <w:p>
      <w:pPr>
        <w:pStyle w:val="ListBullet"/>
        <w:spacing w:after="80" w:line="276" w:lineRule="auto"/>
      </w:pPr>
      <w:r>
        <w:rPr>
          <w:rFonts w:ascii="Calibri" w:hAnsi="Calibri"/>
          <w:sz w:val="21"/>
        </w:rPr>
        <w:t>Do not add to a losing position. Adding to winners is advanced and requires a total-risk cap.</w:t>
      </w:r>
    </w:p>
    <w:p>
      <w:pPr>
        <w:pStyle w:val="ListBullet"/>
        <w:spacing w:after="80" w:line="276" w:lineRule="auto"/>
      </w:pPr>
      <w:r>
        <w:rPr>
          <w:rFonts w:ascii="Calibri" w:hAnsi="Calibri"/>
          <w:sz w:val="21"/>
        </w:rPr>
        <w:t>If both stop and target fall inside one replay candle, lower-timeframe data is required; otherwise record the conservative assumption.</w:t>
      </w:r>
    </w:p>
    <w:p>
      <w:pPr>
        <w:pStyle w:val="Heading1"/>
        <w:keepNext/>
      </w:pPr>
      <w:r>
        <w:t>11. Journal and review</w:t>
      </w:r>
    </w:p>
    <w:p>
      <w:pPr>
        <w:spacing w:after="120" w:line="288" w:lineRule="auto"/>
      </w:pPr>
      <w:r>
        <w:rPr>
          <w:rFonts w:ascii="Calibri" w:hAnsi="Calibri"/>
          <w:sz w:val="21"/>
        </w:rPr>
        <w:t>Record decisions, not just profit. A useful journal allows another person to reconstruct the trade without hindsight.</w:t>
      </w:r>
    </w:p>
    <w:tbl>
      <w:tblPr>
        <w:tblStyle w:val="TableGrid"/>
        <w:tblW w:type="auto" w:w="0"/>
        <w:jc w:val="center"/>
        <w:tblLayout w:type="fixed"/>
        <w:tblLook w:firstColumn="1" w:firstRow="1" w:lastColumn="0" w:lastRow="0" w:noHBand="0" w:noVBand="1" w:val="04A0"/>
      </w:tblPr>
      <w:tblGrid>
        <w:gridCol w:w="4680"/>
        <w:gridCol w:w="4680"/>
      </w:tblGrid>
      <w:tr>
        <w:tc>
          <w:tcPr>
            <w:tcW w:type="dxa" w:w="2232"/>
            <w:shd w:fill="E8EEF5"/>
            <w:tcMar>
              <w:top w:w="80" w:type="dxa"/>
              <w:start w:w="120" w:type="dxa"/>
              <w:bottom w:w="80" w:type="dxa"/>
              <w:end w:w="120" w:type="dxa"/>
            </w:tcMar>
            <w:vAlign w:val="center"/>
          </w:tcPr>
          <w:p>
            <w:r>
              <w:rPr>
                <w:rFonts w:ascii="Calibri" w:hAnsi="Calibri"/>
                <w:b/>
                <w:color w:val="0B2545"/>
                <w:sz w:val="19"/>
              </w:rPr>
              <w:t>Field</w:t>
            </w:r>
          </w:p>
        </w:tc>
        <w:tc>
          <w:tcPr>
            <w:tcW w:type="dxa" w:w="7128"/>
            <w:shd w:fill="E8EEF5"/>
            <w:tcMar>
              <w:top w:w="80" w:type="dxa"/>
              <w:start w:w="120" w:type="dxa"/>
              <w:bottom w:w="80" w:type="dxa"/>
              <w:end w:w="120" w:type="dxa"/>
            </w:tcMar>
            <w:vAlign w:val="center"/>
          </w:tcPr>
          <w:p>
            <w:r>
              <w:rPr>
                <w:rFonts w:ascii="Calibri" w:hAnsi="Calibri"/>
                <w:b/>
                <w:color w:val="0B2545"/>
                <w:sz w:val="19"/>
              </w:rPr>
              <w:t>What to record</w:t>
            </w:r>
          </w:p>
        </w:tc>
      </w:tr>
      <w:tr>
        <w:tc>
          <w:tcPr>
            <w:tcW w:type="dxa" w:w="2232"/>
            <w:tcMar>
              <w:top w:w="80" w:type="dxa"/>
              <w:start w:w="120" w:type="dxa"/>
              <w:bottom w:w="80" w:type="dxa"/>
              <w:end w:w="120" w:type="dxa"/>
            </w:tcMar>
            <w:vAlign w:val="center"/>
          </w:tcPr>
          <w:p>
            <w:r>
              <w:rPr>
                <w:rFonts w:ascii="Calibri" w:hAnsi="Calibri"/>
                <w:sz w:val="18"/>
              </w:rPr>
              <w:t>Context</w:t>
            </w:r>
          </w:p>
        </w:tc>
        <w:tc>
          <w:tcPr>
            <w:tcW w:type="dxa" w:w="7128"/>
            <w:tcMar>
              <w:top w:w="80" w:type="dxa"/>
              <w:start w:w="120" w:type="dxa"/>
              <w:bottom w:w="80" w:type="dxa"/>
              <w:end w:w="120" w:type="dxa"/>
            </w:tcMar>
            <w:vAlign w:val="center"/>
          </w:tcPr>
          <w:p>
            <w:r>
              <w:rPr>
                <w:rFonts w:ascii="Calibri" w:hAnsi="Calibri"/>
                <w:sz w:val="18"/>
              </w:rPr>
              <w:t>Trend/range, key zones, EMA/volume only if actually used</w:t>
            </w:r>
          </w:p>
        </w:tc>
      </w:tr>
      <w:tr>
        <w:tc>
          <w:tcPr>
            <w:tcW w:type="dxa" w:w="2232"/>
            <w:tcMar>
              <w:top w:w="80" w:type="dxa"/>
              <w:start w:w="120" w:type="dxa"/>
              <w:bottom w:w="80" w:type="dxa"/>
              <w:end w:w="120" w:type="dxa"/>
            </w:tcMar>
            <w:vAlign w:val="center"/>
          </w:tcPr>
          <w:p>
            <w:r>
              <w:rPr>
                <w:rFonts w:ascii="Calibri" w:hAnsi="Calibri"/>
                <w:sz w:val="18"/>
              </w:rPr>
              <w:t>Signal</w:t>
            </w:r>
          </w:p>
        </w:tc>
        <w:tc>
          <w:tcPr>
            <w:tcW w:type="dxa" w:w="7128"/>
            <w:tcMar>
              <w:top w:w="80" w:type="dxa"/>
              <w:start w:w="120" w:type="dxa"/>
              <w:bottom w:w="80" w:type="dxa"/>
              <w:end w:w="120" w:type="dxa"/>
            </w:tcMar>
            <w:vAlign w:val="center"/>
          </w:tcPr>
          <w:p>
            <w:r>
              <w:rPr>
                <w:rFonts w:ascii="Calibri" w:hAnsi="Calibri"/>
                <w:sz w:val="18"/>
              </w:rPr>
              <w:t>Exact closed candle and what it confirmed</w:t>
            </w:r>
          </w:p>
        </w:tc>
      </w:tr>
      <w:tr>
        <w:tc>
          <w:tcPr>
            <w:tcW w:type="dxa" w:w="2232"/>
            <w:tcMar>
              <w:top w:w="80" w:type="dxa"/>
              <w:start w:w="120" w:type="dxa"/>
              <w:bottom w:w="80" w:type="dxa"/>
              <w:end w:w="120" w:type="dxa"/>
            </w:tcMar>
            <w:vAlign w:val="center"/>
          </w:tcPr>
          <w:p>
            <w:r>
              <w:rPr>
                <w:rFonts w:ascii="Calibri" w:hAnsi="Calibri"/>
                <w:sz w:val="18"/>
              </w:rPr>
              <w:t>Entry/stop/target</w:t>
            </w:r>
          </w:p>
        </w:tc>
        <w:tc>
          <w:tcPr>
            <w:tcW w:type="dxa" w:w="7128"/>
            <w:tcMar>
              <w:top w:w="80" w:type="dxa"/>
              <w:start w:w="120" w:type="dxa"/>
              <w:bottom w:w="80" w:type="dxa"/>
              <w:end w:w="120" w:type="dxa"/>
            </w:tcMar>
            <w:vAlign w:val="center"/>
          </w:tcPr>
          <w:p>
            <w:r>
              <w:rPr>
                <w:rFonts w:ascii="Calibri" w:hAnsi="Calibri"/>
                <w:sz w:val="18"/>
              </w:rPr>
              <w:t>Prices and structural reasons</w:t>
            </w:r>
          </w:p>
        </w:tc>
      </w:tr>
      <w:tr>
        <w:tc>
          <w:tcPr>
            <w:tcW w:type="dxa" w:w="2232"/>
            <w:tcMar>
              <w:top w:w="80" w:type="dxa"/>
              <w:start w:w="120" w:type="dxa"/>
              <w:bottom w:w="80" w:type="dxa"/>
              <w:end w:w="120" w:type="dxa"/>
            </w:tcMar>
            <w:vAlign w:val="center"/>
          </w:tcPr>
          <w:p>
            <w:r>
              <w:rPr>
                <w:rFonts w:ascii="Calibri" w:hAnsi="Calibri"/>
                <w:sz w:val="18"/>
              </w:rPr>
              <w:t>Reward:risk</w:t>
            </w:r>
          </w:p>
        </w:tc>
        <w:tc>
          <w:tcPr>
            <w:tcW w:type="dxa" w:w="7128"/>
            <w:tcMar>
              <w:top w:w="80" w:type="dxa"/>
              <w:start w:w="120" w:type="dxa"/>
              <w:bottom w:w="80" w:type="dxa"/>
              <w:end w:w="120" w:type="dxa"/>
            </w:tcMar>
            <w:vAlign w:val="center"/>
          </w:tcPr>
          <w:p>
            <w:r>
              <w:rPr>
                <w:rFonts w:ascii="Calibri" w:hAnsi="Calibri"/>
                <w:sz w:val="18"/>
              </w:rPr>
              <w:t>Displayed planned ratio and net ratio after fees if available</w:t>
            </w:r>
          </w:p>
        </w:tc>
      </w:tr>
      <w:tr>
        <w:tc>
          <w:tcPr>
            <w:tcW w:type="dxa" w:w="2232"/>
            <w:tcMar>
              <w:top w:w="80" w:type="dxa"/>
              <w:start w:w="120" w:type="dxa"/>
              <w:bottom w:w="80" w:type="dxa"/>
              <w:end w:w="120" w:type="dxa"/>
            </w:tcMar>
            <w:vAlign w:val="center"/>
          </w:tcPr>
          <w:p>
            <w:r>
              <w:rPr>
                <w:rFonts w:ascii="Calibri" w:hAnsi="Calibri"/>
                <w:sz w:val="18"/>
              </w:rPr>
              <w:t>Confidence</w:t>
            </w:r>
          </w:p>
        </w:tc>
        <w:tc>
          <w:tcPr>
            <w:tcW w:type="dxa" w:w="7128"/>
            <w:tcMar>
              <w:top w:w="80" w:type="dxa"/>
              <w:start w:w="120" w:type="dxa"/>
              <w:bottom w:w="80" w:type="dxa"/>
              <w:end w:w="120" w:type="dxa"/>
            </w:tcMar>
            <w:vAlign w:val="center"/>
          </w:tcPr>
          <w:p>
            <w:r>
              <w:rPr>
                <w:rFonts w:ascii="Calibri" w:hAnsi="Calibri"/>
                <w:sz w:val="18"/>
              </w:rPr>
              <w:t>Consistent percentage scale; never change it after seeing outcome</w:t>
            </w:r>
          </w:p>
        </w:tc>
      </w:tr>
      <w:tr>
        <w:tc>
          <w:tcPr>
            <w:tcW w:type="dxa" w:w="2232"/>
            <w:tcMar>
              <w:top w:w="80" w:type="dxa"/>
              <w:start w:w="120" w:type="dxa"/>
              <w:bottom w:w="80" w:type="dxa"/>
              <w:end w:w="120" w:type="dxa"/>
            </w:tcMar>
            <w:vAlign w:val="center"/>
          </w:tcPr>
          <w:p>
            <w:r>
              <w:rPr>
                <w:rFonts w:ascii="Calibri" w:hAnsi="Calibri"/>
                <w:sz w:val="18"/>
              </w:rPr>
              <w:t>Outcome</w:t>
            </w:r>
          </w:p>
        </w:tc>
        <w:tc>
          <w:tcPr>
            <w:tcW w:type="dxa" w:w="7128"/>
            <w:tcMar>
              <w:top w:w="80" w:type="dxa"/>
              <w:start w:w="120" w:type="dxa"/>
              <w:bottom w:w="80" w:type="dxa"/>
              <w:end w:w="120" w:type="dxa"/>
            </w:tcMar>
            <w:vAlign w:val="center"/>
          </w:tcPr>
          <w:p>
            <w:r>
              <w:rPr>
                <w:rFonts w:ascii="Calibri" w:hAnsi="Calibri"/>
                <w:sz w:val="18"/>
              </w:rPr>
              <w:t>Stop/target/manual exit, gross and net P&amp;L, R result</w:t>
            </w:r>
          </w:p>
        </w:tc>
      </w:tr>
      <w:tr>
        <w:tc>
          <w:tcPr>
            <w:tcW w:type="dxa" w:w="2232"/>
            <w:tcMar>
              <w:top w:w="80" w:type="dxa"/>
              <w:start w:w="120" w:type="dxa"/>
              <w:bottom w:w="80" w:type="dxa"/>
              <w:end w:w="120" w:type="dxa"/>
            </w:tcMar>
            <w:vAlign w:val="center"/>
          </w:tcPr>
          <w:p>
            <w:r>
              <w:rPr>
                <w:rFonts w:ascii="Calibri" w:hAnsi="Calibri"/>
                <w:sz w:val="18"/>
              </w:rPr>
              <w:t>Process grade</w:t>
            </w:r>
          </w:p>
        </w:tc>
        <w:tc>
          <w:tcPr>
            <w:tcW w:type="dxa" w:w="7128"/>
            <w:tcMar>
              <w:top w:w="80" w:type="dxa"/>
              <w:start w:w="120" w:type="dxa"/>
              <w:bottom w:w="80" w:type="dxa"/>
              <w:end w:w="120" w:type="dxa"/>
            </w:tcMar>
            <w:vAlign w:val="center"/>
          </w:tcPr>
          <w:p>
            <w:r>
              <w:rPr>
                <w:rFonts w:ascii="Calibri" w:hAnsi="Calibri"/>
                <w:sz w:val="18"/>
              </w:rPr>
              <w:t>A/B/C based on rule adherence—not win/loss</w:t>
            </w:r>
          </w:p>
        </w:tc>
      </w:tr>
      <w:tr>
        <w:tc>
          <w:tcPr>
            <w:tcW w:type="dxa" w:w="2232"/>
            <w:tcMar>
              <w:top w:w="80" w:type="dxa"/>
              <w:start w:w="120" w:type="dxa"/>
              <w:bottom w:w="80" w:type="dxa"/>
              <w:end w:w="120" w:type="dxa"/>
            </w:tcMar>
            <w:vAlign w:val="center"/>
          </w:tcPr>
          <w:p>
            <w:r>
              <w:rPr>
                <w:rFonts w:ascii="Calibri" w:hAnsi="Calibri"/>
                <w:sz w:val="18"/>
              </w:rPr>
              <w:t>Lesson</w:t>
            </w:r>
          </w:p>
        </w:tc>
        <w:tc>
          <w:tcPr>
            <w:tcW w:type="dxa" w:w="7128"/>
            <w:tcMar>
              <w:top w:w="80" w:type="dxa"/>
              <w:start w:w="120" w:type="dxa"/>
              <w:bottom w:w="80" w:type="dxa"/>
              <w:end w:w="120" w:type="dxa"/>
            </w:tcMar>
            <w:vAlign w:val="center"/>
          </w:tcPr>
          <w:p>
            <w:r>
              <w:rPr>
                <w:rFonts w:ascii="Calibri" w:hAnsi="Calibri"/>
                <w:sz w:val="18"/>
              </w:rPr>
              <w:t>One specific repeat/avoid action</w:t>
            </w:r>
          </w:p>
        </w:tc>
      </w:tr>
    </w:tbl>
    <w:p>
      <w:pPr>
        <w:spacing w:after="20"/>
      </w:pPr>
    </w:p>
    <w:p>
      <w:pPr>
        <w:pStyle w:val="Heading2"/>
        <w:keepNext/>
      </w:pPr>
      <w:r>
        <w:t>Review metrics</w:t>
      </w:r>
    </w:p>
    <w:p>
      <w:pPr>
        <w:pStyle w:val="ListBullet"/>
        <w:spacing w:after="80" w:line="276" w:lineRule="auto"/>
      </w:pPr>
      <w:r>
        <w:rPr>
          <w:rFonts w:ascii="Calibri" w:hAnsi="Calibri"/>
          <w:sz w:val="21"/>
        </w:rPr>
        <w:t>Win rate = winners ÷ total closed trades.</w:t>
      </w:r>
    </w:p>
    <w:p>
      <w:pPr>
        <w:pStyle w:val="ListBullet"/>
        <w:spacing w:after="80" w:line="276" w:lineRule="auto"/>
      </w:pPr>
      <w:r>
        <w:rPr>
          <w:rFonts w:ascii="Calibri" w:hAnsi="Calibri"/>
          <w:sz w:val="21"/>
        </w:rPr>
        <w:t>Average win and average loss in R.</w:t>
      </w:r>
    </w:p>
    <w:p>
      <w:pPr>
        <w:pStyle w:val="ListBullet"/>
        <w:spacing w:after="80" w:line="276" w:lineRule="auto"/>
      </w:pPr>
      <w:r>
        <w:rPr>
          <w:rFonts w:ascii="Calibri" w:hAnsi="Calibri"/>
          <w:sz w:val="21"/>
        </w:rPr>
        <w:t>Expectancy = (win rate × average win) − (loss rate × average loss).</w:t>
      </w:r>
    </w:p>
    <w:p>
      <w:pPr>
        <w:pStyle w:val="ListBullet"/>
        <w:spacing w:after="80" w:line="276" w:lineRule="auto"/>
      </w:pPr>
      <w:r>
        <w:rPr>
          <w:rFonts w:ascii="Calibri" w:hAnsi="Calibri"/>
          <w:sz w:val="21"/>
        </w:rPr>
        <w:t>Maximum drawdown and longest losing streak.</w:t>
      </w:r>
    </w:p>
    <w:p>
      <w:pPr>
        <w:pStyle w:val="ListBullet"/>
        <w:spacing w:after="80" w:line="276" w:lineRule="auto"/>
      </w:pPr>
      <w:r>
        <w:rPr>
          <w:rFonts w:ascii="Calibri" w:hAnsi="Calibri"/>
          <w:sz w:val="21"/>
        </w:rPr>
        <w:t>Rule-adherence rate and results by setup type, direction, timeframe and market regime.</w:t>
      </w:r>
    </w:p>
    <w:p>
      <w:pPr>
        <w:pStyle w:val="Heading1"/>
        <w:keepNext/>
      </w:pPr>
      <w:r>
        <w:t>Appendix A. Pre-trade checklist</w:t>
      </w:r>
    </w:p>
    <w:p>
      <w:pPr>
        <w:spacing w:after="20" w:line="252" w:lineRule="auto"/>
        <w:ind w:left="259"/>
      </w:pPr>
      <w:r>
        <w:rPr>
          <w:rFonts w:ascii="Calibri" w:hAnsi="Calibri"/>
          <w:sz w:val="20"/>
        </w:rPr>
        <w:t>☐  Higher-timeframe regime identified</w:t>
      </w:r>
    </w:p>
    <w:p>
      <w:pPr>
        <w:spacing w:after="20" w:line="252" w:lineRule="auto"/>
        <w:ind w:left="259"/>
      </w:pPr>
      <w:r>
        <w:rPr>
          <w:rFonts w:ascii="Calibri" w:hAnsi="Calibri"/>
          <w:sz w:val="20"/>
        </w:rPr>
        <w:t>☐  Current price location identified</w:t>
      </w:r>
    </w:p>
    <w:p>
      <w:pPr>
        <w:spacing w:after="20" w:line="252" w:lineRule="auto"/>
        <w:ind w:left="259"/>
      </w:pPr>
      <w:r>
        <w:rPr>
          <w:rFonts w:ascii="Calibri" w:hAnsi="Calibri"/>
          <w:sz w:val="20"/>
        </w:rPr>
        <w:t>☐  Support/resistance zones marked</w:t>
      </w:r>
    </w:p>
    <w:p>
      <w:pPr>
        <w:spacing w:after="20" w:line="252" w:lineRule="auto"/>
        <w:ind w:left="259"/>
      </w:pPr>
      <w:r>
        <w:rPr>
          <w:rFonts w:ascii="Calibri" w:hAnsi="Calibri"/>
          <w:sz w:val="20"/>
        </w:rPr>
        <w:t>☐  Setup model named</w:t>
      </w:r>
    </w:p>
    <w:p>
      <w:pPr>
        <w:spacing w:after="20" w:line="252" w:lineRule="auto"/>
        <w:ind w:left="259"/>
      </w:pPr>
      <w:r>
        <w:rPr>
          <w:rFonts w:ascii="Calibri" w:hAnsi="Calibri"/>
          <w:sz w:val="20"/>
        </w:rPr>
        <w:t>☐  Confirmation candle closed</w:t>
      </w:r>
    </w:p>
    <w:p>
      <w:pPr>
        <w:spacing w:after="20" w:line="252" w:lineRule="auto"/>
        <w:ind w:left="259"/>
      </w:pPr>
      <w:r>
        <w:rPr>
          <w:rFonts w:ascii="Calibri" w:hAnsi="Calibri"/>
          <w:sz w:val="20"/>
        </w:rPr>
        <w:t>☐  Entry is not chased</w:t>
      </w:r>
    </w:p>
    <w:p>
      <w:pPr>
        <w:spacing w:after="20" w:line="252" w:lineRule="auto"/>
        <w:ind w:left="259"/>
      </w:pPr>
      <w:r>
        <w:rPr>
          <w:rFonts w:ascii="Calibri" w:hAnsi="Calibri"/>
          <w:sz w:val="20"/>
        </w:rPr>
        <w:t>☐  Structural invalidation is clear</w:t>
      </w:r>
    </w:p>
    <w:p>
      <w:pPr>
        <w:spacing w:after="20" w:line="252" w:lineRule="auto"/>
        <w:ind w:left="259"/>
      </w:pPr>
      <w:r>
        <w:rPr>
          <w:rFonts w:ascii="Calibri" w:hAnsi="Calibri"/>
          <w:sz w:val="20"/>
        </w:rPr>
        <w:t>☐  Stop includes sensible buffer</w:t>
      </w:r>
    </w:p>
    <w:p>
      <w:pPr>
        <w:spacing w:after="20" w:line="252" w:lineRule="auto"/>
        <w:ind w:left="259"/>
      </w:pPr>
      <w:r>
        <w:rPr>
          <w:rFonts w:ascii="Calibri" w:hAnsi="Calibri"/>
          <w:sz w:val="20"/>
        </w:rPr>
        <w:t>☐  Realistic target exists</w:t>
      </w:r>
    </w:p>
    <w:p>
      <w:pPr>
        <w:spacing w:after="20" w:line="252" w:lineRule="auto"/>
        <w:ind w:left="259"/>
      </w:pPr>
      <w:r>
        <w:rPr>
          <w:rFonts w:ascii="Calibri" w:hAnsi="Calibri"/>
          <w:sz w:val="20"/>
        </w:rPr>
        <w:t>☐  Displayed reward:risk ≥ 2.00</w:t>
      </w:r>
    </w:p>
    <w:p>
      <w:pPr>
        <w:spacing w:after="20" w:line="252" w:lineRule="auto"/>
        <w:ind w:left="259"/>
      </w:pPr>
      <w:r>
        <w:rPr>
          <w:rFonts w:ascii="Calibri" w:hAnsi="Calibri"/>
          <w:sz w:val="20"/>
        </w:rPr>
        <w:t>☐  Position size matches fixed account risk</w:t>
      </w:r>
    </w:p>
    <w:p>
      <w:pPr>
        <w:spacing w:after="20" w:line="252" w:lineRule="auto"/>
        <w:ind w:left="259"/>
      </w:pPr>
      <w:r>
        <w:rPr>
          <w:rFonts w:ascii="Calibri" w:hAnsi="Calibri"/>
          <w:sz w:val="20"/>
        </w:rPr>
        <w:t>☐  Fees and event risk considered</w:t>
      </w:r>
    </w:p>
    <w:p>
      <w:pPr>
        <w:spacing w:after="20" w:line="252" w:lineRule="auto"/>
        <w:ind w:left="259"/>
      </w:pPr>
      <w:r>
        <w:rPr>
          <w:rFonts w:ascii="Calibri" w:hAnsi="Calibri"/>
          <w:sz w:val="20"/>
        </w:rPr>
        <w:t>☐  Forecast screenshot saved</w:t>
      </w:r>
    </w:p>
    <w:p>
      <w:pPr>
        <w:spacing w:after="20" w:line="252" w:lineRule="auto"/>
        <w:ind w:left="259"/>
      </w:pPr>
      <w:r>
        <w:rPr>
          <w:rFonts w:ascii="Calibri" w:hAnsi="Calibri"/>
          <w:sz w:val="20"/>
        </w:rPr>
        <w:t>☐  Emotion is neutral enough to execute</w:t>
      </w:r>
    </w:p>
    <w:p>
      <w:pPr>
        <w:pStyle w:val="Heading1"/>
        <w:keepNext/>
      </w:pPr>
      <w:r>
        <w:t>Appendix B. Post-trade checklist</w:t>
      </w:r>
    </w:p>
    <w:p>
      <w:pPr>
        <w:spacing w:after="20" w:line="252" w:lineRule="auto"/>
        <w:ind w:left="259"/>
      </w:pPr>
      <w:r>
        <w:rPr>
          <w:rFonts w:ascii="Calibri" w:hAnsi="Calibri"/>
          <w:sz w:val="20"/>
        </w:rPr>
        <w:t>☐  Exit reason recorded exactly</w:t>
      </w:r>
    </w:p>
    <w:p>
      <w:pPr>
        <w:spacing w:after="20" w:line="252" w:lineRule="auto"/>
        <w:ind w:left="259"/>
      </w:pPr>
      <w:r>
        <w:rPr>
          <w:rFonts w:ascii="Calibri" w:hAnsi="Calibri"/>
          <w:sz w:val="20"/>
        </w:rPr>
        <w:t>☐  Gross/net P&amp;L and R recorded</w:t>
      </w:r>
    </w:p>
    <w:p>
      <w:pPr>
        <w:spacing w:after="20" w:line="252" w:lineRule="auto"/>
        <w:ind w:left="259"/>
      </w:pPr>
      <w:r>
        <w:rPr>
          <w:rFonts w:ascii="Calibri" w:hAnsi="Calibri"/>
          <w:sz w:val="20"/>
        </w:rPr>
        <w:t>☐  Screenshot captured after closure</w:t>
      </w:r>
    </w:p>
    <w:p>
      <w:pPr>
        <w:spacing w:after="20" w:line="252" w:lineRule="auto"/>
        <w:ind w:left="259"/>
      </w:pPr>
      <w:r>
        <w:rPr>
          <w:rFonts w:ascii="Calibri" w:hAnsi="Calibri"/>
          <w:sz w:val="20"/>
        </w:rPr>
        <w:t>☐  Confidence preserved from entry</w:t>
      </w:r>
    </w:p>
    <w:p>
      <w:pPr>
        <w:spacing w:after="20" w:line="252" w:lineRule="auto"/>
        <w:ind w:left="259"/>
      </w:pPr>
      <w:r>
        <w:rPr>
          <w:rFonts w:ascii="Calibri" w:hAnsi="Calibri"/>
          <w:sz w:val="20"/>
        </w:rPr>
        <w:t>☐  Process grade assigned</w:t>
      </w:r>
    </w:p>
    <w:p>
      <w:pPr>
        <w:spacing w:after="20" w:line="252" w:lineRule="auto"/>
        <w:ind w:left="259"/>
      </w:pPr>
      <w:r>
        <w:rPr>
          <w:rFonts w:ascii="Calibri" w:hAnsi="Calibri"/>
          <w:sz w:val="20"/>
        </w:rPr>
        <w:t>☐  No hindsight edits to the original rationale</w:t>
      </w:r>
    </w:p>
    <w:p>
      <w:pPr>
        <w:spacing w:after="20" w:line="252" w:lineRule="auto"/>
        <w:ind w:left="259"/>
      </w:pPr>
      <w:r>
        <w:rPr>
          <w:rFonts w:ascii="Calibri" w:hAnsi="Calibri"/>
          <w:sz w:val="20"/>
        </w:rPr>
        <w:t>☐  One lesson written</w:t>
      </w:r>
    </w:p>
    <w:p>
      <w:pPr>
        <w:spacing w:after="20" w:line="252" w:lineRule="auto"/>
        <w:ind w:left="259"/>
      </w:pPr>
      <w:r>
        <w:rPr>
          <w:rFonts w:ascii="Calibri" w:hAnsi="Calibri"/>
          <w:sz w:val="20"/>
        </w:rPr>
        <w:t>☐  Stop trading if daily loss limit is reached</w:t>
      </w:r>
    </w:p>
    <w:p>
      <w:pPr>
        <w:pStyle w:val="Heading1"/>
        <w:keepNext/>
      </w:pPr>
      <w:r>
        <w:t>Appendix C. Candle glossary</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fill="E8EEF5"/>
            <w:tcMar>
              <w:top w:w="80" w:type="dxa"/>
              <w:start w:w="120" w:type="dxa"/>
              <w:bottom w:w="80" w:type="dxa"/>
              <w:end w:w="120" w:type="dxa"/>
            </w:tcMar>
            <w:vAlign w:val="center"/>
          </w:tcPr>
          <w:p>
            <w:r>
              <w:rPr>
                <w:rFonts w:ascii="Calibri" w:hAnsi="Calibri"/>
                <w:b/>
                <w:color w:val="0B2545"/>
                <w:sz w:val="19"/>
              </w:rPr>
              <w:t>Term</w:t>
            </w:r>
          </w:p>
        </w:tc>
        <w:tc>
          <w:tcPr>
            <w:tcW w:type="dxa" w:w="3816"/>
            <w:shd w:fill="E8EEF5"/>
            <w:tcMar>
              <w:top w:w="80" w:type="dxa"/>
              <w:start w:w="120" w:type="dxa"/>
              <w:bottom w:w="80" w:type="dxa"/>
              <w:end w:w="120" w:type="dxa"/>
            </w:tcMar>
            <w:vAlign w:val="center"/>
          </w:tcPr>
          <w:p>
            <w:r>
              <w:rPr>
                <w:rFonts w:ascii="Calibri" w:hAnsi="Calibri"/>
                <w:b/>
                <w:color w:val="0B2545"/>
                <w:sz w:val="19"/>
              </w:rPr>
              <w:t>Useful meaning</w:t>
            </w:r>
          </w:p>
        </w:tc>
        <w:tc>
          <w:tcPr>
            <w:tcW w:type="dxa" w:w="3600"/>
            <w:shd w:fill="E8EEF5"/>
            <w:tcMar>
              <w:top w:w="80" w:type="dxa"/>
              <w:start w:w="120" w:type="dxa"/>
              <w:bottom w:w="80" w:type="dxa"/>
              <w:end w:w="120" w:type="dxa"/>
            </w:tcMar>
            <w:vAlign w:val="center"/>
          </w:tcPr>
          <w:p>
            <w:r>
              <w:rPr>
                <w:rFonts w:ascii="Calibri" w:hAnsi="Calibri"/>
                <w:b/>
                <w:color w:val="0B2545"/>
                <w:sz w:val="19"/>
              </w:rPr>
              <w:t>Misuse to avoid</w:t>
            </w:r>
          </w:p>
        </w:tc>
      </w:tr>
      <w:tr>
        <w:tc>
          <w:tcPr>
            <w:tcW w:type="dxa" w:w="1944"/>
            <w:tcMar>
              <w:top w:w="80" w:type="dxa"/>
              <w:start w:w="120" w:type="dxa"/>
              <w:bottom w:w="80" w:type="dxa"/>
              <w:end w:w="120" w:type="dxa"/>
            </w:tcMar>
            <w:vAlign w:val="center"/>
          </w:tcPr>
          <w:p>
            <w:r>
              <w:rPr>
                <w:rFonts w:ascii="Calibri" w:hAnsi="Calibri"/>
                <w:sz w:val="18"/>
              </w:rPr>
              <w:t>Engulfing body</w:t>
            </w:r>
          </w:p>
        </w:tc>
        <w:tc>
          <w:tcPr>
            <w:tcW w:type="dxa" w:w="3816"/>
            <w:tcMar>
              <w:top w:w="80" w:type="dxa"/>
              <w:start w:w="120" w:type="dxa"/>
              <w:bottom w:w="80" w:type="dxa"/>
              <w:end w:w="120" w:type="dxa"/>
            </w:tcMar>
            <w:vAlign w:val="center"/>
          </w:tcPr>
          <w:p>
            <w:r>
              <w:rPr>
                <w:rFonts w:ascii="Calibri" w:hAnsi="Calibri"/>
                <w:sz w:val="18"/>
              </w:rPr>
              <w:t>Strong close that overtakes the prior real body at a level</w:t>
            </w:r>
          </w:p>
        </w:tc>
        <w:tc>
          <w:tcPr>
            <w:tcW w:type="dxa" w:w="3600"/>
            <w:tcMar>
              <w:top w:w="80" w:type="dxa"/>
              <w:start w:w="120" w:type="dxa"/>
              <w:bottom w:w="80" w:type="dxa"/>
              <w:end w:w="120" w:type="dxa"/>
            </w:tcMar>
            <w:vAlign w:val="center"/>
          </w:tcPr>
          <w:p>
            <w:r>
              <w:rPr>
                <w:rFonts w:ascii="Calibri" w:hAnsi="Calibri"/>
                <w:sz w:val="18"/>
              </w:rPr>
              <w:t>Trading it anywhere without context</w:t>
            </w:r>
          </w:p>
        </w:tc>
      </w:tr>
      <w:tr>
        <w:tc>
          <w:tcPr>
            <w:tcW w:type="dxa" w:w="1944"/>
            <w:tcMar>
              <w:top w:w="80" w:type="dxa"/>
              <w:start w:w="120" w:type="dxa"/>
              <w:bottom w:w="80" w:type="dxa"/>
              <w:end w:w="120" w:type="dxa"/>
            </w:tcMar>
            <w:vAlign w:val="center"/>
          </w:tcPr>
          <w:p>
            <w:r>
              <w:rPr>
                <w:rFonts w:ascii="Calibri" w:hAnsi="Calibri"/>
                <w:sz w:val="18"/>
              </w:rPr>
              <w:t>Pin/rejection bar</w:t>
            </w:r>
          </w:p>
        </w:tc>
        <w:tc>
          <w:tcPr>
            <w:tcW w:type="dxa" w:w="3816"/>
            <w:tcMar>
              <w:top w:w="80" w:type="dxa"/>
              <w:start w:w="120" w:type="dxa"/>
              <w:bottom w:w="80" w:type="dxa"/>
              <w:end w:w="120" w:type="dxa"/>
            </w:tcMar>
            <w:vAlign w:val="center"/>
          </w:tcPr>
          <w:p>
            <w:r>
              <w:rPr>
                <w:rFonts w:ascii="Calibri" w:hAnsi="Calibri"/>
                <w:sz w:val="18"/>
              </w:rPr>
              <w:t>Long wick rejects one side and closes away from it</w:t>
            </w:r>
          </w:p>
        </w:tc>
        <w:tc>
          <w:tcPr>
            <w:tcW w:type="dxa" w:w="3600"/>
            <w:tcMar>
              <w:top w:w="80" w:type="dxa"/>
              <w:start w:w="120" w:type="dxa"/>
              <w:bottom w:w="80" w:type="dxa"/>
              <w:end w:w="120" w:type="dxa"/>
            </w:tcMar>
            <w:vAlign w:val="center"/>
          </w:tcPr>
          <w:p>
            <w:r>
              <w:rPr>
                <w:rFonts w:ascii="Calibri" w:hAnsi="Calibri"/>
                <w:sz w:val="18"/>
              </w:rPr>
              <w:t>Assuming every long wick reverses trend</w:t>
            </w:r>
          </w:p>
        </w:tc>
      </w:tr>
      <w:tr>
        <w:tc>
          <w:tcPr>
            <w:tcW w:type="dxa" w:w="1944"/>
            <w:tcMar>
              <w:top w:w="80" w:type="dxa"/>
              <w:start w:w="120" w:type="dxa"/>
              <w:bottom w:w="80" w:type="dxa"/>
              <w:end w:w="120" w:type="dxa"/>
            </w:tcMar>
            <w:vAlign w:val="center"/>
          </w:tcPr>
          <w:p>
            <w:r>
              <w:rPr>
                <w:rFonts w:ascii="Calibri" w:hAnsi="Calibri"/>
                <w:sz w:val="18"/>
              </w:rPr>
              <w:t>Inside bar</w:t>
            </w:r>
          </w:p>
        </w:tc>
        <w:tc>
          <w:tcPr>
            <w:tcW w:type="dxa" w:w="3816"/>
            <w:tcMar>
              <w:top w:w="80" w:type="dxa"/>
              <w:start w:w="120" w:type="dxa"/>
              <w:bottom w:w="80" w:type="dxa"/>
              <w:end w:w="120" w:type="dxa"/>
            </w:tcMar>
            <w:vAlign w:val="center"/>
          </w:tcPr>
          <w:p>
            <w:r>
              <w:rPr>
                <w:rFonts w:ascii="Calibri" w:hAnsi="Calibri"/>
                <w:sz w:val="18"/>
              </w:rPr>
              <w:t>Compression within prior range; potential expansion setup</w:t>
            </w:r>
          </w:p>
        </w:tc>
        <w:tc>
          <w:tcPr>
            <w:tcW w:type="dxa" w:w="3600"/>
            <w:tcMar>
              <w:top w:w="80" w:type="dxa"/>
              <w:start w:w="120" w:type="dxa"/>
              <w:bottom w:w="80" w:type="dxa"/>
              <w:end w:w="120" w:type="dxa"/>
            </w:tcMar>
            <w:vAlign w:val="center"/>
          </w:tcPr>
          <w:p>
            <w:r>
              <w:rPr>
                <w:rFonts w:ascii="Calibri" w:hAnsi="Calibri"/>
                <w:sz w:val="18"/>
              </w:rPr>
              <w:t>Guessing direction before breakout</w:t>
            </w:r>
          </w:p>
        </w:tc>
      </w:tr>
      <w:tr>
        <w:tc>
          <w:tcPr>
            <w:tcW w:type="dxa" w:w="1944"/>
            <w:tcMar>
              <w:top w:w="80" w:type="dxa"/>
              <w:start w:w="120" w:type="dxa"/>
              <w:bottom w:w="80" w:type="dxa"/>
              <w:end w:w="120" w:type="dxa"/>
            </w:tcMar>
            <w:vAlign w:val="center"/>
          </w:tcPr>
          <w:p>
            <w:r>
              <w:rPr>
                <w:rFonts w:ascii="Calibri" w:hAnsi="Calibri"/>
                <w:sz w:val="18"/>
              </w:rPr>
              <w:t>Doji</w:t>
            </w:r>
          </w:p>
        </w:tc>
        <w:tc>
          <w:tcPr>
            <w:tcW w:type="dxa" w:w="3816"/>
            <w:tcMar>
              <w:top w:w="80" w:type="dxa"/>
              <w:start w:w="120" w:type="dxa"/>
              <w:bottom w:w="80" w:type="dxa"/>
              <w:end w:w="120" w:type="dxa"/>
            </w:tcMar>
            <w:vAlign w:val="center"/>
          </w:tcPr>
          <w:p>
            <w:r>
              <w:rPr>
                <w:rFonts w:ascii="Calibri" w:hAnsi="Calibri"/>
                <w:sz w:val="18"/>
              </w:rPr>
              <w:t>Balance/indecision</w:t>
            </w:r>
          </w:p>
        </w:tc>
        <w:tc>
          <w:tcPr>
            <w:tcW w:type="dxa" w:w="3600"/>
            <w:tcMar>
              <w:top w:w="80" w:type="dxa"/>
              <w:start w:w="120" w:type="dxa"/>
              <w:bottom w:w="80" w:type="dxa"/>
              <w:end w:w="120" w:type="dxa"/>
            </w:tcMar>
            <w:vAlign w:val="center"/>
          </w:tcPr>
          <w:p>
            <w:r>
              <w:rPr>
                <w:rFonts w:ascii="Calibri" w:hAnsi="Calibri"/>
                <w:sz w:val="18"/>
              </w:rPr>
              <w:t>Treating it as automatic reversal</w:t>
            </w:r>
          </w:p>
        </w:tc>
      </w:tr>
      <w:tr>
        <w:tc>
          <w:tcPr>
            <w:tcW w:type="dxa" w:w="1944"/>
            <w:tcMar>
              <w:top w:w="80" w:type="dxa"/>
              <w:start w:w="120" w:type="dxa"/>
              <w:bottom w:w="80" w:type="dxa"/>
              <w:end w:w="120" w:type="dxa"/>
            </w:tcMar>
            <w:vAlign w:val="center"/>
          </w:tcPr>
          <w:p>
            <w:r>
              <w:rPr>
                <w:rFonts w:ascii="Calibri" w:hAnsi="Calibri"/>
                <w:sz w:val="18"/>
              </w:rPr>
              <w:t>Breakout candle</w:t>
            </w:r>
          </w:p>
        </w:tc>
        <w:tc>
          <w:tcPr>
            <w:tcW w:type="dxa" w:w="3816"/>
            <w:tcMar>
              <w:top w:w="80" w:type="dxa"/>
              <w:start w:w="120" w:type="dxa"/>
              <w:bottom w:w="80" w:type="dxa"/>
              <w:end w:w="120" w:type="dxa"/>
            </w:tcMar>
            <w:vAlign w:val="center"/>
          </w:tcPr>
          <w:p>
            <w:r>
              <w:rPr>
                <w:rFonts w:ascii="Calibri" w:hAnsi="Calibri"/>
                <w:sz w:val="18"/>
              </w:rPr>
              <w:t>Closes beyond a defined zone</w:t>
            </w:r>
          </w:p>
        </w:tc>
        <w:tc>
          <w:tcPr>
            <w:tcW w:type="dxa" w:w="3600"/>
            <w:tcMar>
              <w:top w:w="80" w:type="dxa"/>
              <w:start w:w="120" w:type="dxa"/>
              <w:bottom w:w="80" w:type="dxa"/>
              <w:end w:w="120" w:type="dxa"/>
            </w:tcMar>
            <w:vAlign w:val="center"/>
          </w:tcPr>
          <w:p>
            <w:r>
              <w:rPr>
                <w:rFonts w:ascii="Calibri" w:hAnsi="Calibri"/>
                <w:sz w:val="18"/>
              </w:rPr>
              <w:t>Using a wick-only break as confirmation</w:t>
            </w:r>
          </w:p>
        </w:tc>
      </w:tr>
    </w:tbl>
    <w:p>
      <w:pPr>
        <w:spacing w:after="20"/>
      </w:pPr>
    </w:p>
    <w:p>
      <w:pPr>
        <w:pStyle w:val="Heading1"/>
        <w:keepNext/>
      </w:pPr>
      <w:r>
        <w:t>Appendix D. A 30-session practice routine</w:t>
      </w:r>
    </w:p>
    <w:p>
      <w:pPr>
        <w:pStyle w:val="ListNumber"/>
        <w:numPr>
          <w:ilvl w:val="0"/>
          <w:numId w:val="12"/>
        </w:numPr>
        <w:spacing w:after="100" w:line="276" w:lineRule="auto"/>
      </w:pPr>
      <w:r>
        <w:rPr>
          <w:rFonts w:ascii="Calibri" w:hAnsi="Calibri"/>
          <w:sz w:val="21"/>
        </w:rPr>
        <w:t>Sessions 1–5: mark structure and zones only; no trades.</w:t>
      </w:r>
    </w:p>
    <w:p>
      <w:pPr>
        <w:pStyle w:val="ListNumber"/>
        <w:numPr>
          <w:ilvl w:val="0"/>
          <w:numId w:val="12"/>
        </w:numPr>
        <w:spacing w:after="100" w:line="276" w:lineRule="auto"/>
      </w:pPr>
      <w:r>
        <w:rPr>
          <w:rFonts w:ascii="Calibri" w:hAnsi="Calibri"/>
          <w:sz w:val="21"/>
        </w:rPr>
        <w:t>Sessions 6–10: label confirming candles and retests; record why signals fail.</w:t>
      </w:r>
    </w:p>
    <w:p>
      <w:pPr>
        <w:pStyle w:val="ListNumber"/>
        <w:numPr>
          <w:ilvl w:val="0"/>
          <w:numId w:val="12"/>
        </w:numPr>
        <w:spacing w:after="100" w:line="276" w:lineRule="auto"/>
      </w:pPr>
      <w:r>
        <w:rPr>
          <w:rFonts w:ascii="Calibri" w:hAnsi="Calibri"/>
          <w:sz w:val="21"/>
        </w:rPr>
        <w:t>Sessions 11–15: forecast entries/stops/targets; reject every setup below realistic 2R.</w:t>
      </w:r>
    </w:p>
    <w:p>
      <w:pPr>
        <w:pStyle w:val="ListNumber"/>
        <w:numPr>
          <w:ilvl w:val="0"/>
          <w:numId w:val="12"/>
        </w:numPr>
        <w:spacing w:after="100" w:line="276" w:lineRule="auto"/>
      </w:pPr>
      <w:r>
        <w:rPr>
          <w:rFonts w:ascii="Calibri" w:hAnsi="Calibri"/>
          <w:sz w:val="21"/>
        </w:rPr>
        <w:t>Sessions 16–25: execute one fixed setup model with 0.5% simulated risk.</w:t>
      </w:r>
    </w:p>
    <w:p>
      <w:pPr>
        <w:pStyle w:val="ListNumber"/>
        <w:numPr>
          <w:ilvl w:val="0"/>
          <w:numId w:val="12"/>
        </w:numPr>
        <w:spacing w:after="100" w:line="276" w:lineRule="auto"/>
      </w:pPr>
      <w:r>
        <w:rPr>
          <w:rFonts w:ascii="Calibri" w:hAnsi="Calibri"/>
          <w:sz w:val="21"/>
        </w:rPr>
        <w:t>Sessions 26–30: calculate expectancy, drawdown and rule adherence; change only one rule at a time.</w:t>
      </w:r>
    </w:p>
    <w:tbl>
      <w:tblPr>
        <w:tblW w:type="auto" w:w="0"/>
        <w:jc w:val="center"/>
        <w:tblLayout w:type="fixed"/>
        <w:tblLook w:firstColumn="1" w:firstRow="1" w:lastColumn="0" w:lastRow="0" w:noHBand="0" w:noVBand="1" w:val="04A0"/>
      </w:tblPr>
      <w:tblGrid>
        <w:gridCol w:w="9360"/>
      </w:tblGrid>
      <w:tr>
        <w:tc>
          <w:tcPr>
            <w:tcW w:type="dxa" w:w="9360"/>
            <w:shd w:fill="FFF4D6"/>
            <w:tcMar>
              <w:top w:w="140" w:type="dxa"/>
              <w:start w:w="180" w:type="dxa"/>
              <w:bottom w:w="140" w:type="dxa"/>
              <w:end w:w="180" w:type="dxa"/>
            </w:tcMar>
          </w:tcPr>
          <w:p>
            <w:pPr>
              <w:spacing w:after="0"/>
            </w:pPr>
            <w:r>
              <w:rPr>
                <w:rFonts w:ascii="Calibri" w:hAnsi="Calibri"/>
                <w:b/>
                <w:color w:val="0B2545"/>
                <w:sz w:val="21"/>
              </w:rPr>
              <w:t xml:space="preserve">Graduation standard  </w:t>
            </w:r>
            <w:r>
              <w:rPr>
                <w:rFonts w:ascii="Calibri" w:hAnsi="Calibri"/>
                <w:sz w:val="21"/>
              </w:rPr>
              <w:t>Do not move to live trading because of a few wins. Require a meaningful replay sample, positive expectancy after fees, high rule adherence, and losses small enough that execution remains calm.</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A6470"/>
        <w:sz w:val="17"/>
      </w:rPr>
      <w:t>Education only • Protect capital first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color w:val="5A6470"/>
        <w:sz w:val="17"/>
      </w:rPr>
      <w:t>TRADING PRACTICE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C202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Trading Practice Guide</dc:title>
  <dc:subject>Chart reading, confirmation, risk management and trade forecasting</dc:subject>
  <dc:creator>OpenAI — educational guide</dc:creator>
  <cp:keywords>trading, technical analysis, risk management, chart replay</cp:keywords>
  <dc:description>generated by python-docx</dc:description>
  <cp:lastModifiedBy/>
  <cp:revision>1</cp:revision>
  <dcterms:created xsi:type="dcterms:W3CDTF">2013-12-23T23:15:00Z</dcterms:created>
  <dcterms:modified xsi:type="dcterms:W3CDTF">2013-12-23T23:15:00Z</dcterms:modified>
  <cp:category/>
</cp:coreProperties>
</file>