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 xml:space="preserve">Dès lors, elle s’efforça, s’appliqua et s’évertua à éliminer toutes les émotions perturbatrices et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 Tripiṭaka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saṃsāra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elle a manifesté l’état d’arhat. Ceci est la part des actions qu’elle réalisa dans le passé.</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